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9894E" w14:textId="77777777" w:rsidR="00733327" w:rsidRDefault="00E50EB4" w:rsidP="00E50EB4">
      <w:pPr>
        <w:pStyle w:val="Heading2"/>
        <w:numPr>
          <w:ilvl w:val="2"/>
          <w:numId w:val="3"/>
        </w:numPr>
      </w:pPr>
      <w:bookmarkStart w:id="0" w:name="_Toc200962902"/>
      <w:r>
        <w:rPr>
          <w:noProof/>
        </w:rPr>
        <w:drawing>
          <wp:anchor distT="0" distB="0" distL="114300" distR="114300" simplePos="0" relativeHeight="251658240" behindDoc="0" locked="0" layoutInCell="1" allowOverlap="1" wp14:anchorId="7D79E013" wp14:editId="4796465E">
            <wp:simplePos x="0" y="0"/>
            <wp:positionH relativeFrom="column">
              <wp:posOffset>1242060</wp:posOffset>
            </wp:positionH>
            <wp:positionV relativeFrom="page">
              <wp:posOffset>426720</wp:posOffset>
            </wp:positionV>
            <wp:extent cx="2758440" cy="901065"/>
            <wp:effectExtent l="0" t="0" r="3810" b="0"/>
            <wp:wrapTopAndBottom/>
            <wp:docPr id="1656924043"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924043"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58440" cy="901065"/>
                    </a:xfrm>
                    <a:prstGeom prst="rect">
                      <a:avLst/>
                    </a:prstGeom>
                  </pic:spPr>
                </pic:pic>
              </a:graphicData>
            </a:graphic>
          </wp:anchor>
        </w:drawing>
      </w:r>
      <w:r w:rsidR="00733327">
        <w:t>Information to Stakeholders</w:t>
      </w:r>
      <w:bookmarkEnd w:id="0"/>
      <w:r>
        <w:t xml:space="preserve"> </w:t>
      </w:r>
    </w:p>
    <w:p w14:paraId="4B753866" w14:textId="77777777" w:rsidR="00733327" w:rsidRPr="000E7C43" w:rsidRDefault="00733327" w:rsidP="00733327">
      <w:pPr>
        <w:rPr>
          <w:lang w:val="en-GB"/>
        </w:rPr>
      </w:pPr>
    </w:p>
    <w:tbl>
      <w:tblPr>
        <w:tblStyle w:val="TableGrid"/>
        <w:tblW w:w="0" w:type="auto"/>
        <w:tblLook w:val="04A0" w:firstRow="1" w:lastRow="0" w:firstColumn="1" w:lastColumn="0" w:noHBand="0" w:noVBand="1"/>
      </w:tblPr>
      <w:tblGrid>
        <w:gridCol w:w="2830"/>
        <w:gridCol w:w="6186"/>
      </w:tblGrid>
      <w:tr w:rsidR="00733327" w:rsidRPr="004A5648" w14:paraId="1971CD16" w14:textId="77777777" w:rsidTr="00F022F2">
        <w:tc>
          <w:tcPr>
            <w:tcW w:w="2830" w:type="dxa"/>
          </w:tcPr>
          <w:p w14:paraId="6B018153" w14:textId="77777777" w:rsidR="00733327" w:rsidRPr="004A5648" w:rsidRDefault="00733327" w:rsidP="00F022F2">
            <w:pPr>
              <w:rPr>
                <w:sz w:val="24"/>
                <w:szCs w:val="24"/>
                <w:lang w:val="en-GB"/>
              </w:rPr>
            </w:pPr>
            <w:r w:rsidRPr="004A5648">
              <w:rPr>
                <w:sz w:val="24"/>
                <w:szCs w:val="24"/>
                <w:lang w:val="en-GB"/>
              </w:rPr>
              <w:t>Procedure code and title:</w:t>
            </w:r>
          </w:p>
        </w:tc>
        <w:tc>
          <w:tcPr>
            <w:tcW w:w="6186" w:type="dxa"/>
          </w:tcPr>
          <w:p w14:paraId="33CB4DBB" w14:textId="77777777" w:rsidR="00733327" w:rsidRPr="004A5648" w:rsidRDefault="00733327" w:rsidP="00F022F2">
            <w:pPr>
              <w:rPr>
                <w:sz w:val="24"/>
                <w:szCs w:val="24"/>
                <w:lang w:val="en-GB"/>
              </w:rPr>
            </w:pPr>
            <w:r w:rsidRPr="004A5648">
              <w:rPr>
                <w:sz w:val="24"/>
                <w:szCs w:val="24"/>
                <w:lang w:val="en-GB"/>
              </w:rPr>
              <w:t>2.1.7 Information to Stakeholders</w:t>
            </w:r>
          </w:p>
        </w:tc>
      </w:tr>
      <w:tr w:rsidR="00733327" w:rsidRPr="004A5648" w14:paraId="377247D6" w14:textId="77777777" w:rsidTr="00F022F2">
        <w:tc>
          <w:tcPr>
            <w:tcW w:w="2830" w:type="dxa"/>
          </w:tcPr>
          <w:p w14:paraId="3DD589C7" w14:textId="77777777" w:rsidR="00733327" w:rsidRPr="004A5648" w:rsidRDefault="00733327" w:rsidP="00F022F2">
            <w:pPr>
              <w:rPr>
                <w:sz w:val="24"/>
                <w:szCs w:val="24"/>
                <w:lang w:val="en-GB"/>
              </w:rPr>
            </w:pPr>
            <w:r w:rsidRPr="004A5648">
              <w:rPr>
                <w:sz w:val="24"/>
                <w:szCs w:val="24"/>
                <w:lang w:val="en-GB"/>
              </w:rPr>
              <w:t>Policy area:</w:t>
            </w:r>
          </w:p>
        </w:tc>
        <w:tc>
          <w:tcPr>
            <w:tcW w:w="6186" w:type="dxa"/>
          </w:tcPr>
          <w:p w14:paraId="44136764" w14:textId="77777777" w:rsidR="00733327" w:rsidRPr="004A5648" w:rsidRDefault="00733327" w:rsidP="00F022F2">
            <w:pPr>
              <w:rPr>
                <w:sz w:val="24"/>
                <w:szCs w:val="24"/>
                <w:lang w:val="en-GB"/>
              </w:rPr>
            </w:pPr>
            <w:r w:rsidRPr="004A5648">
              <w:rPr>
                <w:sz w:val="24"/>
                <w:szCs w:val="24"/>
                <w:lang w:val="en-GB"/>
              </w:rPr>
              <w:t>2.1 Communications</w:t>
            </w:r>
          </w:p>
        </w:tc>
      </w:tr>
      <w:tr w:rsidR="00733327" w:rsidRPr="009F1C25" w14:paraId="0E4AFB7D" w14:textId="77777777" w:rsidTr="00F022F2">
        <w:tc>
          <w:tcPr>
            <w:tcW w:w="2830" w:type="dxa"/>
          </w:tcPr>
          <w:p w14:paraId="363AB4C9" w14:textId="77777777" w:rsidR="00733327" w:rsidRPr="0044602E" w:rsidRDefault="00733327" w:rsidP="00F022F2">
            <w:pPr>
              <w:rPr>
                <w:sz w:val="24"/>
                <w:szCs w:val="24"/>
                <w:lang w:val="en-GB"/>
              </w:rPr>
            </w:pPr>
            <w:r w:rsidRPr="0044602E">
              <w:rPr>
                <w:sz w:val="24"/>
                <w:szCs w:val="24"/>
                <w:lang w:val="en-GB"/>
              </w:rPr>
              <w:t>Version Number:</w:t>
            </w:r>
          </w:p>
        </w:tc>
        <w:tc>
          <w:tcPr>
            <w:tcW w:w="6186" w:type="dxa"/>
          </w:tcPr>
          <w:p w14:paraId="053646E9" w14:textId="77777777" w:rsidR="00733327" w:rsidRPr="0044602E" w:rsidRDefault="00733327" w:rsidP="00F022F2">
            <w:pPr>
              <w:rPr>
                <w:sz w:val="24"/>
                <w:szCs w:val="24"/>
                <w:lang w:val="en-GB"/>
              </w:rPr>
            </w:pPr>
            <w:r w:rsidRPr="0044602E">
              <w:rPr>
                <w:sz w:val="24"/>
                <w:szCs w:val="24"/>
                <w:lang w:val="en-GB"/>
              </w:rPr>
              <w:t>1</w:t>
            </w:r>
          </w:p>
        </w:tc>
      </w:tr>
      <w:tr w:rsidR="00733327" w:rsidRPr="009F1C25" w14:paraId="547C2344" w14:textId="77777777" w:rsidTr="00F022F2">
        <w:tc>
          <w:tcPr>
            <w:tcW w:w="2830" w:type="dxa"/>
          </w:tcPr>
          <w:p w14:paraId="6D9EAFA4" w14:textId="77777777" w:rsidR="00733327" w:rsidRPr="0044602E" w:rsidRDefault="00733327" w:rsidP="00F022F2">
            <w:pPr>
              <w:rPr>
                <w:sz w:val="24"/>
                <w:szCs w:val="24"/>
                <w:lang w:val="en-GB"/>
              </w:rPr>
            </w:pPr>
            <w:r w:rsidRPr="0044602E">
              <w:rPr>
                <w:sz w:val="24"/>
                <w:szCs w:val="24"/>
                <w:lang w:val="en-GB"/>
              </w:rPr>
              <w:t>Reviewed by:</w:t>
            </w:r>
          </w:p>
        </w:tc>
        <w:tc>
          <w:tcPr>
            <w:tcW w:w="6186" w:type="dxa"/>
          </w:tcPr>
          <w:p w14:paraId="7BC5207C" w14:textId="77777777" w:rsidR="00733327" w:rsidRPr="0044602E" w:rsidRDefault="00733327" w:rsidP="00F022F2">
            <w:pPr>
              <w:rPr>
                <w:sz w:val="24"/>
                <w:szCs w:val="24"/>
                <w:lang w:val="en-GB"/>
              </w:rPr>
            </w:pPr>
            <w:r w:rsidRPr="0044602E">
              <w:rPr>
                <w:sz w:val="24"/>
                <w:szCs w:val="24"/>
                <w:lang w:val="en-GB"/>
              </w:rPr>
              <w:t>Quality Assurance Sub-Group</w:t>
            </w:r>
          </w:p>
        </w:tc>
      </w:tr>
      <w:tr w:rsidR="00733327" w:rsidRPr="009F1C25" w14:paraId="40AF7F14" w14:textId="77777777" w:rsidTr="00F022F2">
        <w:tc>
          <w:tcPr>
            <w:tcW w:w="2830" w:type="dxa"/>
          </w:tcPr>
          <w:p w14:paraId="3961C909" w14:textId="77777777" w:rsidR="00733327" w:rsidRPr="0044602E" w:rsidRDefault="00733327" w:rsidP="00F022F2">
            <w:pPr>
              <w:rPr>
                <w:sz w:val="24"/>
                <w:szCs w:val="24"/>
                <w:lang w:val="en-GB"/>
              </w:rPr>
            </w:pPr>
            <w:r w:rsidRPr="0044602E">
              <w:rPr>
                <w:sz w:val="24"/>
                <w:szCs w:val="24"/>
                <w:lang w:val="en-GB"/>
              </w:rPr>
              <w:t>Date approved by Quality Council:</w:t>
            </w:r>
          </w:p>
        </w:tc>
        <w:tc>
          <w:tcPr>
            <w:tcW w:w="6186" w:type="dxa"/>
          </w:tcPr>
          <w:p w14:paraId="776A363B" w14:textId="77777777" w:rsidR="00733327" w:rsidRPr="0044602E" w:rsidRDefault="00733327" w:rsidP="00F022F2">
            <w:pPr>
              <w:rPr>
                <w:sz w:val="24"/>
                <w:szCs w:val="24"/>
                <w:lang w:val="en-GB"/>
              </w:rPr>
            </w:pPr>
            <w:r w:rsidRPr="0044602E">
              <w:rPr>
                <w:sz w:val="24"/>
                <w:szCs w:val="24"/>
                <w:lang w:val="en-GB"/>
              </w:rPr>
              <w:t>27</w:t>
            </w:r>
            <w:r w:rsidRPr="0044602E">
              <w:rPr>
                <w:sz w:val="24"/>
                <w:szCs w:val="24"/>
                <w:vertAlign w:val="superscript"/>
                <w:lang w:val="en-GB"/>
              </w:rPr>
              <w:t>th</w:t>
            </w:r>
            <w:r w:rsidRPr="0044602E">
              <w:rPr>
                <w:sz w:val="24"/>
                <w:szCs w:val="24"/>
                <w:lang w:val="en-GB"/>
              </w:rPr>
              <w:t xml:space="preserve"> June 2023</w:t>
            </w:r>
          </w:p>
        </w:tc>
      </w:tr>
      <w:tr w:rsidR="00733327" w:rsidRPr="009F1C25" w14:paraId="54B0C339" w14:textId="77777777" w:rsidTr="00F022F2">
        <w:tc>
          <w:tcPr>
            <w:tcW w:w="2830" w:type="dxa"/>
          </w:tcPr>
          <w:p w14:paraId="27AAEFAB" w14:textId="77777777" w:rsidR="00733327" w:rsidRPr="0044602E" w:rsidRDefault="00733327" w:rsidP="00F022F2">
            <w:pPr>
              <w:rPr>
                <w:sz w:val="24"/>
                <w:szCs w:val="24"/>
                <w:lang w:val="en-GB"/>
              </w:rPr>
            </w:pPr>
            <w:r w:rsidRPr="0044602E">
              <w:rPr>
                <w:sz w:val="24"/>
                <w:szCs w:val="24"/>
                <w:lang w:val="en-GB"/>
              </w:rPr>
              <w:t>Date of Implementation:</w:t>
            </w:r>
          </w:p>
        </w:tc>
        <w:tc>
          <w:tcPr>
            <w:tcW w:w="6186" w:type="dxa"/>
          </w:tcPr>
          <w:p w14:paraId="63B93EF2" w14:textId="77777777" w:rsidR="00733327" w:rsidRPr="0044602E" w:rsidRDefault="00733327" w:rsidP="00F022F2">
            <w:pPr>
              <w:rPr>
                <w:sz w:val="24"/>
                <w:szCs w:val="24"/>
                <w:lang w:val="en-GB"/>
              </w:rPr>
            </w:pPr>
            <w:r w:rsidRPr="0044602E">
              <w:rPr>
                <w:sz w:val="24"/>
                <w:szCs w:val="24"/>
                <w:lang w:val="en-GB"/>
              </w:rPr>
              <w:t>1</w:t>
            </w:r>
            <w:r w:rsidRPr="0044602E">
              <w:rPr>
                <w:sz w:val="24"/>
                <w:szCs w:val="24"/>
                <w:vertAlign w:val="superscript"/>
                <w:lang w:val="en-GB"/>
              </w:rPr>
              <w:t>st</w:t>
            </w:r>
            <w:r w:rsidRPr="0044602E">
              <w:rPr>
                <w:sz w:val="24"/>
                <w:szCs w:val="24"/>
                <w:lang w:val="en-GB"/>
              </w:rPr>
              <w:t xml:space="preserve"> January 2024</w:t>
            </w:r>
          </w:p>
        </w:tc>
      </w:tr>
      <w:tr w:rsidR="00733327" w:rsidRPr="009F1C25" w14:paraId="6AD5CB87" w14:textId="77777777" w:rsidTr="00F022F2">
        <w:tc>
          <w:tcPr>
            <w:tcW w:w="2830" w:type="dxa"/>
          </w:tcPr>
          <w:p w14:paraId="1C3E3E79" w14:textId="77777777" w:rsidR="00733327" w:rsidRPr="0044602E" w:rsidRDefault="00733327" w:rsidP="00F022F2">
            <w:pPr>
              <w:rPr>
                <w:sz w:val="24"/>
                <w:szCs w:val="24"/>
                <w:lang w:val="en-GB"/>
              </w:rPr>
            </w:pPr>
            <w:r w:rsidRPr="0044602E">
              <w:rPr>
                <w:sz w:val="24"/>
                <w:szCs w:val="24"/>
                <w:lang w:val="en-GB"/>
              </w:rPr>
              <w:t>Review Date:</w:t>
            </w:r>
          </w:p>
        </w:tc>
        <w:tc>
          <w:tcPr>
            <w:tcW w:w="6186" w:type="dxa"/>
          </w:tcPr>
          <w:p w14:paraId="1AEF567D" w14:textId="77777777" w:rsidR="00733327" w:rsidRDefault="00733327" w:rsidP="00F022F2">
            <w:pPr>
              <w:rPr>
                <w:b/>
                <w:sz w:val="24"/>
                <w:szCs w:val="24"/>
                <w:lang w:val="en-GB"/>
              </w:rPr>
            </w:pPr>
          </w:p>
        </w:tc>
      </w:tr>
    </w:tbl>
    <w:p w14:paraId="26EDFD3F" w14:textId="77777777" w:rsidR="00733327" w:rsidRDefault="00733327" w:rsidP="00733327">
      <w:pPr>
        <w:spacing w:after="0" w:line="240" w:lineRule="auto"/>
        <w:textAlignment w:val="baseline"/>
        <w:rPr>
          <w:rFonts w:ascii="Calibri" w:eastAsia="Times New Roman" w:hAnsi="Calibri" w:cs="Calibri"/>
          <w:b/>
          <w:color w:val="4472C4" w:themeColor="accent1"/>
          <w:sz w:val="28"/>
          <w:szCs w:val="28"/>
          <w:lang w:val="en-GB" w:eastAsia="en-IE"/>
        </w:rPr>
      </w:pPr>
    </w:p>
    <w:p w14:paraId="13190F77" w14:textId="77777777" w:rsidR="00733327" w:rsidRPr="00694EE1" w:rsidRDefault="00733327" w:rsidP="00733327">
      <w:pPr>
        <w:spacing w:after="0" w:line="240" w:lineRule="auto"/>
        <w:textAlignment w:val="baseline"/>
        <w:rPr>
          <w:rFonts w:ascii="Calibri" w:eastAsia="Times New Roman" w:hAnsi="Calibri" w:cs="Calibri"/>
          <w:b/>
          <w:color w:val="4472C4" w:themeColor="accent1"/>
          <w:sz w:val="28"/>
          <w:szCs w:val="28"/>
          <w:lang w:val="en-GB" w:eastAsia="en-IE"/>
        </w:rPr>
      </w:pPr>
      <w:r w:rsidRPr="00694EE1">
        <w:rPr>
          <w:rFonts w:ascii="Calibri" w:eastAsia="Times New Roman" w:hAnsi="Calibri" w:cs="Calibri"/>
          <w:b/>
          <w:color w:val="4472C4" w:themeColor="accent1"/>
          <w:sz w:val="28"/>
          <w:szCs w:val="28"/>
          <w:lang w:val="en-GB" w:eastAsia="en-IE"/>
        </w:rPr>
        <w:t>Purpose</w:t>
      </w:r>
    </w:p>
    <w:p w14:paraId="4372F6D6" w14:textId="77777777" w:rsidR="00733327" w:rsidRDefault="00733327" w:rsidP="00733327">
      <w:pPr>
        <w:spacing w:after="0" w:line="240" w:lineRule="auto"/>
        <w:textAlignment w:val="baseline"/>
        <w:rPr>
          <w:rFonts w:ascii="Calibri" w:eastAsia="Times New Roman" w:hAnsi="Calibri" w:cs="Calibri"/>
          <w:lang w:val="en-GB" w:eastAsia="en-IE"/>
        </w:rPr>
      </w:pPr>
      <w:r w:rsidRPr="002D12A0">
        <w:rPr>
          <w:rFonts w:ascii="Calibri" w:eastAsia="Times New Roman" w:hAnsi="Calibri" w:cs="Calibri"/>
          <w:lang w:val="en-GB" w:eastAsia="en-IE"/>
        </w:rPr>
        <w:t> </w:t>
      </w:r>
    </w:p>
    <w:p w14:paraId="2C7448D5" w14:textId="77777777" w:rsidR="00733327" w:rsidRPr="00694EE1" w:rsidRDefault="00733327" w:rsidP="00733327">
      <w:pPr>
        <w:spacing w:after="0" w:line="240" w:lineRule="auto"/>
        <w:textAlignment w:val="baseline"/>
        <w:rPr>
          <w:rStyle w:val="normaltextrun"/>
          <w:rFonts w:ascii="Segoe UI" w:eastAsia="Times New Roman" w:hAnsi="Segoe UI" w:cs="Segoe UI"/>
          <w:sz w:val="24"/>
          <w:szCs w:val="24"/>
          <w:lang w:val="en-GB" w:eastAsia="en-IE"/>
        </w:rPr>
      </w:pPr>
      <w:r w:rsidRPr="00694EE1">
        <w:rPr>
          <w:rStyle w:val="normaltextrun"/>
          <w:rFonts w:ascii="Calibri" w:hAnsi="Calibri" w:cs="Calibri"/>
          <w:sz w:val="24"/>
          <w:szCs w:val="24"/>
        </w:rPr>
        <w:t>The purpose of this procedure is to detail how KWETB staff promote a culture of quality when communicating formally and informally with all stakeholders.</w:t>
      </w:r>
    </w:p>
    <w:p w14:paraId="041AEC19" w14:textId="77777777" w:rsidR="00733327" w:rsidRDefault="00733327" w:rsidP="00733327">
      <w:pPr>
        <w:pStyle w:val="paragraph"/>
        <w:spacing w:before="0" w:beforeAutospacing="0" w:after="0" w:afterAutospacing="0"/>
        <w:ind w:left="360"/>
        <w:textAlignment w:val="baseline"/>
        <w:rPr>
          <w:rStyle w:val="normaltextrun"/>
          <w:rFonts w:ascii="Calibri" w:hAnsi="Calibri" w:cs="Calibri"/>
        </w:rPr>
      </w:pPr>
    </w:p>
    <w:p w14:paraId="17E030F5" w14:textId="77777777" w:rsidR="00733327" w:rsidRPr="00694EE1" w:rsidRDefault="00733327" w:rsidP="00733327">
      <w:pPr>
        <w:spacing w:after="0" w:line="240" w:lineRule="auto"/>
        <w:textAlignment w:val="baseline"/>
        <w:rPr>
          <w:rFonts w:eastAsia="Times New Roman" w:cstheme="minorHAnsi"/>
          <w:b/>
          <w:color w:val="2E74B5" w:themeColor="accent5" w:themeShade="BF"/>
          <w:sz w:val="28"/>
          <w:szCs w:val="28"/>
          <w:lang w:eastAsia="en-IE"/>
        </w:rPr>
      </w:pPr>
      <w:r w:rsidRPr="00694EE1">
        <w:rPr>
          <w:rFonts w:eastAsia="Times New Roman" w:cstheme="minorHAnsi"/>
          <w:b/>
          <w:color w:val="2E74B5" w:themeColor="accent5" w:themeShade="BF"/>
          <w:sz w:val="28"/>
          <w:szCs w:val="28"/>
          <w:lang w:eastAsia="en-IE"/>
        </w:rPr>
        <w:t>Scope</w:t>
      </w:r>
    </w:p>
    <w:p w14:paraId="0EC2F17C" w14:textId="77777777" w:rsidR="00733327" w:rsidRPr="00694EE1" w:rsidRDefault="00733327" w:rsidP="00733327">
      <w:pPr>
        <w:spacing w:after="0" w:line="240" w:lineRule="auto"/>
        <w:textAlignment w:val="baseline"/>
        <w:rPr>
          <w:rFonts w:ascii="Segoe UI" w:eastAsia="Times New Roman" w:hAnsi="Segoe UI" w:cs="Segoe UI"/>
          <w:b/>
          <w:color w:val="2E74B5" w:themeColor="accent5" w:themeShade="BF"/>
          <w:sz w:val="28"/>
          <w:szCs w:val="28"/>
          <w:lang w:eastAsia="en-IE"/>
        </w:rPr>
      </w:pPr>
    </w:p>
    <w:p w14:paraId="67B6EAA6" w14:textId="77777777" w:rsidR="00733327" w:rsidRPr="00F063D4" w:rsidRDefault="00733327" w:rsidP="00733327">
      <w:pPr>
        <w:pStyle w:val="paragraph"/>
        <w:spacing w:before="0" w:beforeAutospacing="0" w:after="0" w:afterAutospacing="0"/>
        <w:textAlignment w:val="baseline"/>
        <w:rPr>
          <w:rStyle w:val="eop"/>
          <w:rFonts w:asciiTheme="minorHAnsi" w:hAnsiTheme="minorHAnsi" w:cstheme="minorHAnsi"/>
        </w:rPr>
      </w:pPr>
      <w:r w:rsidRPr="00F063D4">
        <w:rPr>
          <w:rStyle w:val="eop"/>
          <w:rFonts w:asciiTheme="minorHAnsi" w:hAnsiTheme="minorHAnsi" w:cstheme="minorHAnsi"/>
        </w:rPr>
        <w:t>This procedure applies to all FET Provision and FET Provision</w:t>
      </w:r>
      <w:r>
        <w:rPr>
          <w:rStyle w:val="eop"/>
          <w:rFonts w:asciiTheme="minorHAnsi" w:hAnsiTheme="minorHAnsi" w:cstheme="minorHAnsi"/>
        </w:rPr>
        <w:t>-</w:t>
      </w:r>
      <w:r w:rsidRPr="00F063D4">
        <w:rPr>
          <w:rStyle w:val="eop"/>
          <w:rFonts w:asciiTheme="minorHAnsi" w:hAnsiTheme="minorHAnsi" w:cstheme="minorHAnsi"/>
        </w:rPr>
        <w:t>Second Providers.  There is an integrated single policy, with integrated procedures for FET Provision and FET Provision</w:t>
      </w:r>
      <w:r>
        <w:rPr>
          <w:rStyle w:val="eop"/>
          <w:rFonts w:asciiTheme="minorHAnsi" w:hAnsiTheme="minorHAnsi" w:cstheme="minorHAnsi"/>
        </w:rPr>
        <w:t>-</w:t>
      </w:r>
      <w:r w:rsidRPr="00F063D4">
        <w:rPr>
          <w:rStyle w:val="eop"/>
          <w:rFonts w:asciiTheme="minorHAnsi" w:hAnsiTheme="minorHAnsi" w:cstheme="minorHAnsi"/>
        </w:rPr>
        <w:t xml:space="preserve"> Second Providers. </w:t>
      </w:r>
    </w:p>
    <w:p w14:paraId="6F54E2E1" w14:textId="77777777" w:rsidR="00733327" w:rsidRDefault="00733327" w:rsidP="00733327">
      <w:pPr>
        <w:pStyle w:val="paragraph"/>
        <w:spacing w:before="0" w:beforeAutospacing="0" w:after="0" w:afterAutospacing="0"/>
        <w:textAlignment w:val="baseline"/>
        <w:rPr>
          <w:rStyle w:val="normaltextrun"/>
          <w:rFonts w:ascii="Calibri Light" w:hAnsi="Calibri Light" w:cs="Calibri Light"/>
          <w:b/>
          <w:bCs/>
          <w:sz w:val="22"/>
          <w:szCs w:val="22"/>
        </w:rPr>
      </w:pPr>
    </w:p>
    <w:p w14:paraId="2690C641" w14:textId="77777777" w:rsidR="00733327" w:rsidRDefault="00733327" w:rsidP="00733327">
      <w:pPr>
        <w:pStyle w:val="paragraph"/>
        <w:spacing w:before="0" w:beforeAutospacing="0" w:after="0" w:afterAutospacing="0"/>
        <w:textAlignment w:val="baseline"/>
        <w:rPr>
          <w:rStyle w:val="normaltextrun"/>
          <w:rFonts w:ascii="Calibri" w:hAnsi="Calibri" w:cs="Calibri"/>
          <w:b/>
          <w:bCs/>
          <w:color w:val="000000"/>
          <w:sz w:val="22"/>
          <w:szCs w:val="22"/>
        </w:rPr>
      </w:pPr>
      <w:r w:rsidRPr="00694EE1">
        <w:rPr>
          <w:rStyle w:val="normaltextrun"/>
          <w:rFonts w:ascii="Calibri" w:hAnsi="Calibri" w:cs="Calibri"/>
          <w:b/>
          <w:bCs/>
          <w:color w:val="4472C4" w:themeColor="accent1"/>
          <w:sz w:val="28"/>
          <w:szCs w:val="28"/>
        </w:rPr>
        <w:t>Preamble</w:t>
      </w:r>
    </w:p>
    <w:p w14:paraId="1B12707A" w14:textId="77777777" w:rsidR="00733327" w:rsidRDefault="00733327" w:rsidP="00733327">
      <w:pPr>
        <w:pStyle w:val="paragraph"/>
        <w:spacing w:before="0" w:beforeAutospacing="0" w:after="0" w:afterAutospacing="0"/>
        <w:textAlignment w:val="baseline"/>
        <w:rPr>
          <w:rStyle w:val="normaltextrun"/>
          <w:rFonts w:ascii="Calibri" w:hAnsi="Calibri" w:cs="Calibri"/>
          <w:b/>
          <w:bCs/>
          <w:color w:val="000000"/>
          <w:sz w:val="22"/>
          <w:szCs w:val="22"/>
        </w:rPr>
      </w:pPr>
    </w:p>
    <w:p w14:paraId="2D71A906" w14:textId="77777777" w:rsidR="00733327" w:rsidRDefault="00733327" w:rsidP="00733327">
      <w:pPr>
        <w:pStyle w:val="paragraph"/>
        <w:spacing w:before="0" w:beforeAutospacing="0" w:after="0" w:afterAutospacing="0"/>
        <w:textAlignment w:val="baseline"/>
        <w:rPr>
          <w:rStyle w:val="normaltextrun"/>
          <w:rFonts w:ascii="Calibri" w:hAnsi="Calibri" w:cs="Calibri"/>
        </w:rPr>
      </w:pPr>
      <w:r w:rsidRPr="00F40E3C">
        <w:rPr>
          <w:rStyle w:val="normaltextrun"/>
          <w:rFonts w:ascii="Calibri" w:hAnsi="Calibri" w:cs="Calibri"/>
        </w:rPr>
        <w:t>KWETB services have working relationships with a wide range of stakeholders.  Examples of stakeholders include:</w:t>
      </w:r>
    </w:p>
    <w:p w14:paraId="7C6E2790" w14:textId="77777777" w:rsidR="00733327" w:rsidRPr="00F40E3C" w:rsidRDefault="00733327" w:rsidP="00733327">
      <w:pPr>
        <w:pStyle w:val="paragraph"/>
        <w:spacing w:before="0" w:beforeAutospacing="0" w:after="0" w:afterAutospacing="0"/>
        <w:textAlignment w:val="baseline"/>
        <w:rPr>
          <w:rStyle w:val="normaltextrun"/>
          <w:rFonts w:ascii="Calibri" w:hAnsi="Calibri" w:cs="Calibri"/>
        </w:rPr>
      </w:pPr>
    </w:p>
    <w:p w14:paraId="28F0BE18" w14:textId="77777777" w:rsidR="00733327" w:rsidRPr="00F40E3C" w:rsidRDefault="00733327" w:rsidP="00733327">
      <w:pPr>
        <w:pStyle w:val="paragraph"/>
        <w:numPr>
          <w:ilvl w:val="0"/>
          <w:numId w:val="2"/>
        </w:numPr>
        <w:spacing w:before="0" w:beforeAutospacing="0" w:after="0" w:afterAutospacing="0"/>
        <w:textAlignment w:val="baseline"/>
        <w:rPr>
          <w:rStyle w:val="normaltextrun"/>
          <w:rFonts w:ascii="Calibri" w:hAnsi="Calibri" w:cs="Calibri"/>
        </w:rPr>
      </w:pPr>
      <w:r w:rsidRPr="00F40E3C">
        <w:rPr>
          <w:rStyle w:val="normaltextrun"/>
          <w:rFonts w:ascii="Calibri" w:hAnsi="Calibri" w:cs="Calibri"/>
        </w:rPr>
        <w:t>SOLAS, ETBI, QQI, other awarding bodies</w:t>
      </w:r>
    </w:p>
    <w:p w14:paraId="36B95F15" w14:textId="77777777" w:rsidR="00733327" w:rsidRPr="00F40E3C" w:rsidRDefault="00733327" w:rsidP="00733327">
      <w:pPr>
        <w:pStyle w:val="paragraph"/>
        <w:numPr>
          <w:ilvl w:val="0"/>
          <w:numId w:val="2"/>
        </w:numPr>
        <w:spacing w:before="0" w:beforeAutospacing="0" w:after="0" w:afterAutospacing="0"/>
        <w:textAlignment w:val="baseline"/>
        <w:rPr>
          <w:rStyle w:val="normaltextrun"/>
          <w:rFonts w:ascii="Calibri" w:hAnsi="Calibri" w:cs="Calibri"/>
        </w:rPr>
      </w:pPr>
      <w:r w:rsidRPr="00F40E3C">
        <w:rPr>
          <w:rStyle w:val="normaltextrun"/>
          <w:rFonts w:ascii="Calibri" w:hAnsi="Calibri" w:cs="Calibri"/>
        </w:rPr>
        <w:t xml:space="preserve">Funding bodies of different programmes i.e. ESF and </w:t>
      </w:r>
      <w:proofErr w:type="spellStart"/>
      <w:r w:rsidRPr="00F40E3C">
        <w:rPr>
          <w:rStyle w:val="normaltextrun"/>
          <w:rFonts w:ascii="Calibri" w:hAnsi="Calibri" w:cs="Calibri"/>
        </w:rPr>
        <w:t>Leargas</w:t>
      </w:r>
      <w:proofErr w:type="spellEnd"/>
    </w:p>
    <w:p w14:paraId="00818399" w14:textId="77777777" w:rsidR="00733327" w:rsidRPr="00F40E3C" w:rsidRDefault="00733327" w:rsidP="00733327">
      <w:pPr>
        <w:pStyle w:val="paragraph"/>
        <w:numPr>
          <w:ilvl w:val="0"/>
          <w:numId w:val="2"/>
        </w:numPr>
        <w:spacing w:before="0" w:beforeAutospacing="0" w:after="0" w:afterAutospacing="0"/>
        <w:textAlignment w:val="baseline"/>
        <w:rPr>
          <w:rStyle w:val="normaltextrun"/>
          <w:rFonts w:ascii="Calibri" w:hAnsi="Calibri" w:cs="Calibri"/>
        </w:rPr>
      </w:pPr>
      <w:r w:rsidRPr="00F40E3C">
        <w:rPr>
          <w:rStyle w:val="normaltextrun"/>
          <w:rFonts w:ascii="Calibri" w:hAnsi="Calibri" w:cs="Calibri"/>
        </w:rPr>
        <w:t>Project Partners</w:t>
      </w:r>
    </w:p>
    <w:p w14:paraId="03A22554" w14:textId="77777777" w:rsidR="00733327" w:rsidRPr="00F40E3C" w:rsidRDefault="00733327" w:rsidP="00733327">
      <w:pPr>
        <w:pStyle w:val="paragraph"/>
        <w:numPr>
          <w:ilvl w:val="0"/>
          <w:numId w:val="2"/>
        </w:numPr>
        <w:spacing w:before="0" w:beforeAutospacing="0" w:after="0" w:afterAutospacing="0"/>
        <w:textAlignment w:val="baseline"/>
        <w:rPr>
          <w:rStyle w:val="normaltextrun"/>
          <w:rFonts w:ascii="Calibri" w:hAnsi="Calibri" w:cs="Calibri"/>
        </w:rPr>
      </w:pPr>
      <w:r w:rsidRPr="00F40E3C">
        <w:rPr>
          <w:rStyle w:val="normaltextrun"/>
          <w:rFonts w:ascii="Calibri" w:hAnsi="Calibri" w:cs="Calibri"/>
        </w:rPr>
        <w:t>Government departments such as Dept of Education, Dept of Social Protection, Dept of Enterprise, Trade and Employment</w:t>
      </w:r>
    </w:p>
    <w:p w14:paraId="7E7EC973" w14:textId="77777777" w:rsidR="00733327" w:rsidRPr="00F40E3C" w:rsidRDefault="00733327" w:rsidP="00733327">
      <w:pPr>
        <w:pStyle w:val="paragraph"/>
        <w:numPr>
          <w:ilvl w:val="0"/>
          <w:numId w:val="2"/>
        </w:numPr>
        <w:spacing w:before="0" w:beforeAutospacing="0" w:after="0" w:afterAutospacing="0"/>
        <w:textAlignment w:val="baseline"/>
        <w:rPr>
          <w:rStyle w:val="normaltextrun"/>
          <w:rFonts w:ascii="Calibri" w:hAnsi="Calibri" w:cs="Calibri"/>
        </w:rPr>
      </w:pPr>
      <w:r w:rsidRPr="00F40E3C">
        <w:rPr>
          <w:rStyle w:val="normaltextrun"/>
          <w:rFonts w:ascii="Calibri" w:hAnsi="Calibri" w:cs="Calibri"/>
        </w:rPr>
        <w:t>Industry and professional bodies, Local Enterprise Centre</w:t>
      </w:r>
    </w:p>
    <w:p w14:paraId="6103467B" w14:textId="77777777" w:rsidR="00733327" w:rsidRPr="00F40E3C" w:rsidRDefault="00733327" w:rsidP="00733327">
      <w:pPr>
        <w:pStyle w:val="paragraph"/>
        <w:numPr>
          <w:ilvl w:val="0"/>
          <w:numId w:val="2"/>
        </w:numPr>
        <w:spacing w:before="0" w:beforeAutospacing="0" w:after="0" w:afterAutospacing="0"/>
        <w:textAlignment w:val="baseline"/>
        <w:rPr>
          <w:rStyle w:val="normaltextrun"/>
          <w:rFonts w:ascii="Calibri" w:hAnsi="Calibri" w:cs="Calibri"/>
        </w:rPr>
      </w:pPr>
      <w:r w:rsidRPr="00F40E3C">
        <w:rPr>
          <w:rStyle w:val="normaltextrun"/>
          <w:rFonts w:ascii="Calibri" w:hAnsi="Calibri" w:cs="Calibri"/>
        </w:rPr>
        <w:t>The Teaching Council, CAO</w:t>
      </w:r>
    </w:p>
    <w:p w14:paraId="55B3C775" w14:textId="77777777" w:rsidR="00733327" w:rsidRPr="00F40E3C" w:rsidRDefault="00733327" w:rsidP="00733327">
      <w:pPr>
        <w:pStyle w:val="paragraph"/>
        <w:numPr>
          <w:ilvl w:val="0"/>
          <w:numId w:val="2"/>
        </w:numPr>
        <w:spacing w:before="0" w:beforeAutospacing="0" w:after="0" w:afterAutospacing="0"/>
        <w:textAlignment w:val="baseline"/>
        <w:rPr>
          <w:rStyle w:val="normaltextrun"/>
          <w:rFonts w:ascii="Calibri" w:hAnsi="Calibri" w:cs="Calibri"/>
        </w:rPr>
      </w:pPr>
      <w:r w:rsidRPr="00F40E3C">
        <w:rPr>
          <w:rStyle w:val="normaltextrun"/>
          <w:rFonts w:ascii="Calibri" w:hAnsi="Calibri" w:cs="Calibri"/>
        </w:rPr>
        <w:t>Higher Education Institutions</w:t>
      </w:r>
    </w:p>
    <w:p w14:paraId="6CF7A71F" w14:textId="77777777" w:rsidR="00733327" w:rsidRPr="00F40E3C" w:rsidRDefault="00733327" w:rsidP="00733327">
      <w:pPr>
        <w:pStyle w:val="paragraph"/>
        <w:numPr>
          <w:ilvl w:val="0"/>
          <w:numId w:val="2"/>
        </w:numPr>
        <w:spacing w:before="0" w:beforeAutospacing="0" w:after="0" w:afterAutospacing="0"/>
        <w:textAlignment w:val="baseline"/>
        <w:rPr>
          <w:rStyle w:val="normaltextrun"/>
          <w:rFonts w:ascii="Calibri" w:hAnsi="Calibri" w:cs="Calibri"/>
        </w:rPr>
      </w:pPr>
      <w:r w:rsidRPr="00F40E3C">
        <w:rPr>
          <w:rStyle w:val="normaltextrun"/>
          <w:rFonts w:ascii="Calibri" w:hAnsi="Calibri" w:cs="Calibri"/>
        </w:rPr>
        <w:t>Local communities, Childcare Committee, Youth groups, Community groups and agencies</w:t>
      </w:r>
    </w:p>
    <w:p w14:paraId="73D3455F" w14:textId="77777777" w:rsidR="00733327" w:rsidRDefault="00733327" w:rsidP="00733327">
      <w:pPr>
        <w:pStyle w:val="paragraph"/>
        <w:numPr>
          <w:ilvl w:val="0"/>
          <w:numId w:val="2"/>
        </w:numPr>
        <w:spacing w:before="0" w:beforeAutospacing="0" w:after="0" w:afterAutospacing="0"/>
        <w:textAlignment w:val="baseline"/>
        <w:rPr>
          <w:rStyle w:val="normaltextrun"/>
          <w:rFonts w:ascii="Calibri" w:hAnsi="Calibri" w:cs="Calibri"/>
        </w:rPr>
      </w:pPr>
      <w:r w:rsidRPr="00F40E3C">
        <w:rPr>
          <w:rStyle w:val="normaltextrun"/>
          <w:rFonts w:ascii="Calibri" w:hAnsi="Calibri" w:cs="Calibri"/>
        </w:rPr>
        <w:t>Employers and entrepreneurs</w:t>
      </w:r>
    </w:p>
    <w:p w14:paraId="0B194A1F" w14:textId="77777777" w:rsidR="00733327" w:rsidRPr="00F40E3C" w:rsidRDefault="00733327" w:rsidP="00733327">
      <w:pPr>
        <w:pStyle w:val="paragraph"/>
        <w:numPr>
          <w:ilvl w:val="0"/>
          <w:numId w:val="2"/>
        </w:numPr>
        <w:spacing w:before="0" w:beforeAutospacing="0" w:after="0" w:afterAutospacing="0"/>
        <w:textAlignment w:val="baseline"/>
        <w:rPr>
          <w:rFonts w:ascii="Calibri" w:hAnsi="Calibri" w:cs="Calibri"/>
        </w:rPr>
      </w:pPr>
      <w:r>
        <w:rPr>
          <w:rFonts w:ascii="Calibri" w:hAnsi="Calibri" w:cs="Calibri"/>
        </w:rPr>
        <w:t>Work experience employers</w:t>
      </w:r>
    </w:p>
    <w:p w14:paraId="643D3D6F" w14:textId="77777777" w:rsidR="00733327" w:rsidRPr="00F40E3C" w:rsidRDefault="00733327" w:rsidP="00733327">
      <w:pPr>
        <w:pStyle w:val="paragraph"/>
        <w:numPr>
          <w:ilvl w:val="0"/>
          <w:numId w:val="2"/>
        </w:numPr>
        <w:spacing w:before="0" w:beforeAutospacing="0" w:after="0" w:afterAutospacing="0"/>
        <w:textAlignment w:val="baseline"/>
        <w:rPr>
          <w:rStyle w:val="normaltextrun"/>
          <w:rFonts w:ascii="Calibri" w:hAnsi="Calibri" w:cs="Calibri"/>
        </w:rPr>
      </w:pPr>
      <w:r w:rsidRPr="00F40E3C">
        <w:rPr>
          <w:rStyle w:val="normaltextrun"/>
          <w:rFonts w:ascii="Calibri" w:hAnsi="Calibri" w:cs="Calibri"/>
        </w:rPr>
        <w:t>Suppliers</w:t>
      </w:r>
    </w:p>
    <w:p w14:paraId="1C6AB1AE" w14:textId="77777777" w:rsidR="00733327" w:rsidRPr="00F40E3C" w:rsidRDefault="00733327" w:rsidP="00733327">
      <w:pPr>
        <w:pStyle w:val="paragraph"/>
        <w:numPr>
          <w:ilvl w:val="0"/>
          <w:numId w:val="2"/>
        </w:numPr>
        <w:spacing w:before="0" w:beforeAutospacing="0" w:after="0" w:afterAutospacing="0"/>
        <w:textAlignment w:val="baseline"/>
        <w:rPr>
          <w:rFonts w:ascii="Calibri" w:hAnsi="Calibri" w:cs="Calibri"/>
        </w:rPr>
      </w:pPr>
      <w:r w:rsidRPr="00F40E3C">
        <w:rPr>
          <w:rFonts w:ascii="Calibri" w:hAnsi="Calibri" w:cs="Calibri"/>
        </w:rPr>
        <w:t>Learners, parents, carers and families of learners</w:t>
      </w:r>
    </w:p>
    <w:p w14:paraId="442F1855" w14:textId="77777777" w:rsidR="00733327" w:rsidRPr="00F40E3C" w:rsidRDefault="00733327" w:rsidP="00733327">
      <w:pPr>
        <w:pStyle w:val="paragraph"/>
        <w:numPr>
          <w:ilvl w:val="0"/>
          <w:numId w:val="2"/>
        </w:numPr>
        <w:spacing w:before="0" w:beforeAutospacing="0" w:after="0" w:afterAutospacing="0"/>
        <w:textAlignment w:val="baseline"/>
        <w:rPr>
          <w:rFonts w:ascii="Calibri" w:hAnsi="Calibri" w:cs="Calibri"/>
        </w:rPr>
      </w:pPr>
      <w:r w:rsidRPr="00F40E3C">
        <w:rPr>
          <w:rFonts w:ascii="Calibri" w:hAnsi="Calibri" w:cs="Calibri"/>
        </w:rPr>
        <w:t>All staff in all departments of KWETB</w:t>
      </w:r>
    </w:p>
    <w:p w14:paraId="5DC55097" w14:textId="77777777" w:rsidR="00733327" w:rsidRPr="00F40E3C" w:rsidRDefault="00733327" w:rsidP="00733327">
      <w:pPr>
        <w:pStyle w:val="paragraph"/>
        <w:numPr>
          <w:ilvl w:val="0"/>
          <w:numId w:val="2"/>
        </w:numPr>
        <w:spacing w:before="0" w:beforeAutospacing="0" w:after="0" w:afterAutospacing="0"/>
        <w:textAlignment w:val="baseline"/>
        <w:rPr>
          <w:rFonts w:ascii="Calibri" w:hAnsi="Calibri" w:cs="Calibri"/>
        </w:rPr>
      </w:pPr>
      <w:r w:rsidRPr="00F40E3C">
        <w:rPr>
          <w:rFonts w:ascii="Calibri" w:hAnsi="Calibri" w:cs="Calibri"/>
        </w:rPr>
        <w:t>Employee Unions</w:t>
      </w:r>
    </w:p>
    <w:p w14:paraId="75B19748" w14:textId="77777777" w:rsidR="00733327" w:rsidRDefault="00733327" w:rsidP="00733327">
      <w:pPr>
        <w:pStyle w:val="paragraph"/>
        <w:spacing w:before="0" w:beforeAutospacing="0" w:after="0" w:afterAutospacing="0"/>
        <w:textAlignment w:val="baseline"/>
        <w:rPr>
          <w:rFonts w:ascii="Calibri" w:hAnsi="Calibri" w:cs="Calibri"/>
          <w:sz w:val="22"/>
          <w:szCs w:val="22"/>
        </w:rPr>
      </w:pPr>
    </w:p>
    <w:p w14:paraId="39058A9C" w14:textId="77777777" w:rsidR="00733327" w:rsidRPr="00F40E3C" w:rsidRDefault="00733327" w:rsidP="00733327">
      <w:pPr>
        <w:pStyle w:val="paragraph"/>
        <w:spacing w:before="0" w:beforeAutospacing="0" w:after="0" w:afterAutospacing="0"/>
        <w:textAlignment w:val="baseline"/>
        <w:rPr>
          <w:rFonts w:asciiTheme="minorHAnsi" w:hAnsiTheme="minorHAnsi" w:cstheme="minorHAnsi"/>
          <w:color w:val="333333"/>
        </w:rPr>
      </w:pPr>
      <w:r w:rsidRPr="00BC78B4">
        <w:rPr>
          <w:rFonts w:asciiTheme="minorHAnsi" w:hAnsiTheme="minorHAnsi" w:cstheme="minorHAnsi"/>
          <w:color w:val="333333"/>
        </w:rPr>
        <w:t xml:space="preserve">Second provider </w:t>
      </w:r>
      <w:r>
        <w:rPr>
          <w:rFonts w:asciiTheme="minorHAnsi" w:hAnsiTheme="minorHAnsi" w:cstheme="minorHAnsi"/>
          <w:color w:val="333333"/>
        </w:rPr>
        <w:t xml:space="preserve">is the flexible tool for provision across FET to meet industry and </w:t>
      </w:r>
      <w:proofErr w:type="spellStart"/>
      <w:r>
        <w:rPr>
          <w:rFonts w:asciiTheme="minorHAnsi" w:hAnsiTheme="minorHAnsi" w:cstheme="minorHAnsi"/>
          <w:color w:val="333333"/>
        </w:rPr>
        <w:t>leanrer</w:t>
      </w:r>
      <w:proofErr w:type="spellEnd"/>
      <w:r>
        <w:rPr>
          <w:rFonts w:asciiTheme="minorHAnsi" w:hAnsiTheme="minorHAnsi" w:cstheme="minorHAnsi"/>
          <w:color w:val="333333"/>
        </w:rPr>
        <w:t xml:space="preserve"> need.</w:t>
      </w:r>
    </w:p>
    <w:p w14:paraId="24A35A6A" w14:textId="77777777" w:rsidR="00733327" w:rsidRDefault="00733327" w:rsidP="00733327">
      <w:pPr>
        <w:pStyle w:val="paragraph"/>
        <w:spacing w:before="0" w:beforeAutospacing="0" w:after="0" w:afterAutospacing="0"/>
        <w:textAlignment w:val="baseline"/>
        <w:rPr>
          <w:rFonts w:ascii="Arial" w:hAnsi="Arial" w:cs="Arial"/>
          <w:color w:val="333333"/>
          <w:sz w:val="27"/>
          <w:szCs w:val="27"/>
        </w:rPr>
      </w:pPr>
    </w:p>
    <w:p w14:paraId="29D062E2" w14:textId="77777777" w:rsidR="00733327" w:rsidRDefault="00733327" w:rsidP="0073332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Appropriate communication of information to Stakeholders is key to giving structure, context and visibility to our processes. Communication with stakeholders should be open and transparent, unless information is governed by GDPR.  An understanding of the FET environment and of the quality within that environment promotes our provision and increases the standing of our FET Centres and colleges at all levels.  This shared understanding enables us to build partnerships and to collaborate with external agencies and community members. </w:t>
      </w:r>
    </w:p>
    <w:p w14:paraId="3A6E51CB" w14:textId="77777777" w:rsidR="00733327" w:rsidRDefault="00733327" w:rsidP="0073332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14:paraId="35449C7B" w14:textId="77777777" w:rsidR="00733327" w:rsidRPr="00694EE1" w:rsidRDefault="00733327" w:rsidP="00733327">
      <w:pPr>
        <w:pStyle w:val="paragraph"/>
        <w:spacing w:before="0" w:beforeAutospacing="0" w:after="0" w:afterAutospacing="0"/>
        <w:jc w:val="both"/>
        <w:textAlignment w:val="baseline"/>
        <w:rPr>
          <w:rFonts w:ascii="Segoe UI" w:hAnsi="Segoe UI" w:cs="Segoe UI"/>
          <w:b/>
          <w:color w:val="4472C4" w:themeColor="accent1"/>
          <w:sz w:val="28"/>
          <w:szCs w:val="28"/>
        </w:rPr>
      </w:pPr>
      <w:r>
        <w:rPr>
          <w:rStyle w:val="eop"/>
          <w:rFonts w:ascii="Calibri" w:hAnsi="Calibri" w:cs="Calibri"/>
          <w:b/>
          <w:color w:val="4472C4" w:themeColor="accent1"/>
          <w:sz w:val="28"/>
          <w:szCs w:val="28"/>
        </w:rPr>
        <w:t>P</w:t>
      </w:r>
      <w:r w:rsidRPr="00694EE1">
        <w:rPr>
          <w:rStyle w:val="eop"/>
          <w:rFonts w:ascii="Calibri" w:hAnsi="Calibri" w:cs="Calibri"/>
          <w:b/>
          <w:color w:val="4472C4" w:themeColor="accent1"/>
          <w:sz w:val="28"/>
          <w:szCs w:val="28"/>
        </w:rPr>
        <w:t xml:space="preserve">rocedure – </w:t>
      </w:r>
      <w:r>
        <w:rPr>
          <w:rStyle w:val="eop"/>
          <w:rFonts w:ascii="Calibri" w:hAnsi="Calibri" w:cs="Calibri"/>
          <w:b/>
          <w:color w:val="4472C4" w:themeColor="accent1"/>
          <w:sz w:val="28"/>
          <w:szCs w:val="28"/>
        </w:rPr>
        <w:t xml:space="preserve">2.1.7 </w:t>
      </w:r>
      <w:r w:rsidRPr="00694EE1">
        <w:rPr>
          <w:rStyle w:val="eop"/>
          <w:rFonts w:ascii="Calibri" w:hAnsi="Calibri" w:cs="Calibri"/>
          <w:b/>
          <w:color w:val="4472C4" w:themeColor="accent1"/>
          <w:sz w:val="28"/>
          <w:szCs w:val="28"/>
        </w:rPr>
        <w:t>Information to Stakeholders</w:t>
      </w:r>
      <w:r>
        <w:rPr>
          <w:rStyle w:val="eop"/>
          <w:rFonts w:ascii="Calibri" w:hAnsi="Calibri" w:cs="Calibri"/>
          <w:b/>
          <w:color w:val="4472C4" w:themeColor="accent1"/>
          <w:sz w:val="28"/>
          <w:szCs w:val="28"/>
        </w:rPr>
        <w:t xml:space="preserve"> </w:t>
      </w:r>
    </w:p>
    <w:p w14:paraId="2433FC51" w14:textId="77777777" w:rsidR="00733327" w:rsidRDefault="00733327" w:rsidP="00733327">
      <w:pPr>
        <w:spacing w:after="0" w:line="240" w:lineRule="auto"/>
        <w:textAlignment w:val="baseline"/>
        <w:rPr>
          <w:rFonts w:ascii="Segoe UI" w:eastAsia="Times New Roman" w:hAnsi="Segoe UI" w:cs="Segoe UI"/>
          <w:sz w:val="18"/>
          <w:szCs w:val="18"/>
          <w:lang w:eastAsia="en-IE"/>
        </w:rPr>
      </w:pPr>
      <w:r>
        <w:rPr>
          <w:rStyle w:val="eop"/>
          <w:rFonts w:ascii="Calibri" w:hAnsi="Calibri" w:cs="Calibri"/>
        </w:rPr>
        <w:t> </w:t>
      </w:r>
    </w:p>
    <w:tbl>
      <w:tblPr>
        <w:tblStyle w:val="TableGrid"/>
        <w:tblW w:w="0" w:type="auto"/>
        <w:tblLook w:val="04A0" w:firstRow="1" w:lastRow="0" w:firstColumn="1" w:lastColumn="0" w:noHBand="0" w:noVBand="1"/>
      </w:tblPr>
      <w:tblGrid>
        <w:gridCol w:w="535"/>
        <w:gridCol w:w="8481"/>
      </w:tblGrid>
      <w:tr w:rsidR="00733327" w:rsidRPr="00F063D4" w14:paraId="2B3B386B" w14:textId="77777777" w:rsidTr="00F022F2">
        <w:tc>
          <w:tcPr>
            <w:tcW w:w="535" w:type="dxa"/>
          </w:tcPr>
          <w:p w14:paraId="79637CE6" w14:textId="77777777" w:rsidR="00733327" w:rsidRPr="00B44A6B" w:rsidRDefault="00733327" w:rsidP="00F022F2">
            <w:pPr>
              <w:textAlignment w:val="baseline"/>
              <w:rPr>
                <w:rFonts w:eastAsia="Times New Roman" w:cstheme="minorHAnsi"/>
                <w:sz w:val="24"/>
                <w:szCs w:val="24"/>
                <w:lang w:eastAsia="en-IE"/>
              </w:rPr>
            </w:pPr>
            <w:r>
              <w:rPr>
                <w:rFonts w:eastAsia="Times New Roman" w:cstheme="minorHAnsi"/>
                <w:sz w:val="24"/>
                <w:szCs w:val="24"/>
                <w:lang w:eastAsia="en-IE"/>
              </w:rPr>
              <w:t>1</w:t>
            </w:r>
          </w:p>
        </w:tc>
        <w:tc>
          <w:tcPr>
            <w:tcW w:w="8481" w:type="dxa"/>
          </w:tcPr>
          <w:p w14:paraId="78BB7CB6" w14:textId="77777777" w:rsidR="00733327" w:rsidRPr="00B44A6B" w:rsidRDefault="00733327" w:rsidP="00F022F2">
            <w:pPr>
              <w:textAlignment w:val="baseline"/>
              <w:rPr>
                <w:rFonts w:eastAsia="Times New Roman" w:cstheme="minorHAnsi"/>
                <w:sz w:val="24"/>
                <w:szCs w:val="24"/>
                <w:lang w:eastAsia="en-IE"/>
              </w:rPr>
            </w:pPr>
            <w:r w:rsidRPr="00B44A6B">
              <w:rPr>
                <w:rFonts w:eastAsia="Times New Roman" w:cstheme="minorHAnsi"/>
                <w:sz w:val="24"/>
                <w:szCs w:val="24"/>
                <w:lang w:eastAsia="en-IE"/>
              </w:rPr>
              <w:t>The Co-ordinator/Recruitment Officer should engage stakeholders such as learners, local employers or professional representative bodies in planning and consultation processes.</w:t>
            </w:r>
          </w:p>
          <w:p w14:paraId="4BAC4761" w14:textId="77777777" w:rsidR="00733327" w:rsidRPr="00B44A6B" w:rsidRDefault="00733327" w:rsidP="00F022F2">
            <w:pPr>
              <w:textAlignment w:val="baseline"/>
              <w:rPr>
                <w:rFonts w:eastAsia="Times New Roman" w:cstheme="minorHAnsi"/>
                <w:sz w:val="24"/>
                <w:szCs w:val="24"/>
                <w:lang w:eastAsia="en-IE"/>
              </w:rPr>
            </w:pPr>
          </w:p>
        </w:tc>
      </w:tr>
      <w:tr w:rsidR="00733327" w:rsidRPr="00F063D4" w14:paraId="7A6311F2" w14:textId="77777777" w:rsidTr="00F022F2">
        <w:tc>
          <w:tcPr>
            <w:tcW w:w="535" w:type="dxa"/>
          </w:tcPr>
          <w:p w14:paraId="19F03518" w14:textId="77777777" w:rsidR="00733327" w:rsidRPr="00B44A6B" w:rsidRDefault="00733327" w:rsidP="00F022F2">
            <w:pPr>
              <w:textAlignment w:val="baseline"/>
              <w:rPr>
                <w:rFonts w:eastAsia="Times New Roman" w:cstheme="minorHAnsi"/>
                <w:sz w:val="24"/>
                <w:szCs w:val="24"/>
                <w:lang w:eastAsia="en-IE"/>
              </w:rPr>
            </w:pPr>
            <w:r>
              <w:rPr>
                <w:rFonts w:eastAsia="Times New Roman" w:cstheme="minorHAnsi"/>
                <w:sz w:val="24"/>
                <w:szCs w:val="24"/>
                <w:lang w:eastAsia="en-IE"/>
              </w:rPr>
              <w:t>2</w:t>
            </w:r>
          </w:p>
        </w:tc>
        <w:tc>
          <w:tcPr>
            <w:tcW w:w="8481" w:type="dxa"/>
          </w:tcPr>
          <w:p w14:paraId="2F31937D" w14:textId="77777777" w:rsidR="00733327" w:rsidRPr="00B44A6B" w:rsidRDefault="00733327" w:rsidP="00F022F2">
            <w:pPr>
              <w:textAlignment w:val="baseline"/>
              <w:rPr>
                <w:rFonts w:eastAsia="Times New Roman" w:cstheme="minorHAnsi"/>
                <w:sz w:val="24"/>
                <w:szCs w:val="24"/>
                <w:lang w:eastAsia="en-IE"/>
              </w:rPr>
            </w:pPr>
            <w:r w:rsidRPr="00B44A6B">
              <w:rPr>
                <w:rFonts w:eastAsia="Times New Roman" w:cstheme="minorHAnsi"/>
                <w:sz w:val="24"/>
                <w:szCs w:val="24"/>
                <w:lang w:eastAsia="en-IE"/>
              </w:rPr>
              <w:t>The Chair of governance groups and working groups should ensure that external representatives are included in the group.</w:t>
            </w:r>
          </w:p>
          <w:p w14:paraId="1BF3FDFA" w14:textId="77777777" w:rsidR="00733327" w:rsidRPr="00B44A6B" w:rsidRDefault="00733327" w:rsidP="00F022F2">
            <w:pPr>
              <w:textAlignment w:val="baseline"/>
              <w:rPr>
                <w:rFonts w:eastAsia="Times New Roman" w:cstheme="minorHAnsi"/>
                <w:sz w:val="24"/>
                <w:szCs w:val="24"/>
                <w:lang w:eastAsia="en-IE"/>
              </w:rPr>
            </w:pPr>
          </w:p>
        </w:tc>
      </w:tr>
      <w:tr w:rsidR="00733327" w:rsidRPr="00F063D4" w14:paraId="202B7F1B" w14:textId="77777777" w:rsidTr="00F022F2">
        <w:tc>
          <w:tcPr>
            <w:tcW w:w="535" w:type="dxa"/>
          </w:tcPr>
          <w:p w14:paraId="45B45E9C" w14:textId="77777777" w:rsidR="00733327" w:rsidRPr="00B44A6B" w:rsidRDefault="00733327" w:rsidP="00F022F2">
            <w:pPr>
              <w:textAlignment w:val="baseline"/>
              <w:rPr>
                <w:rFonts w:eastAsia="Times New Roman" w:cstheme="minorHAnsi"/>
                <w:sz w:val="24"/>
                <w:szCs w:val="24"/>
                <w:lang w:eastAsia="en-IE"/>
              </w:rPr>
            </w:pPr>
            <w:r>
              <w:rPr>
                <w:rFonts w:eastAsia="Times New Roman" w:cstheme="minorHAnsi"/>
                <w:sz w:val="24"/>
                <w:szCs w:val="24"/>
                <w:lang w:eastAsia="en-IE"/>
              </w:rPr>
              <w:t>3</w:t>
            </w:r>
          </w:p>
        </w:tc>
        <w:tc>
          <w:tcPr>
            <w:tcW w:w="8481" w:type="dxa"/>
          </w:tcPr>
          <w:p w14:paraId="339E5D84" w14:textId="77777777" w:rsidR="00733327" w:rsidRPr="00B44A6B" w:rsidRDefault="00733327" w:rsidP="00F022F2">
            <w:pPr>
              <w:textAlignment w:val="baseline"/>
              <w:rPr>
                <w:rFonts w:eastAsia="Times New Roman" w:cstheme="minorHAnsi"/>
                <w:sz w:val="24"/>
                <w:szCs w:val="24"/>
                <w:lang w:eastAsia="en-IE"/>
              </w:rPr>
            </w:pPr>
            <w:r w:rsidRPr="00B44A6B">
              <w:rPr>
                <w:rFonts w:eastAsia="Times New Roman" w:cstheme="minorHAnsi"/>
                <w:sz w:val="24"/>
                <w:szCs w:val="24"/>
                <w:lang w:eastAsia="en-IE"/>
              </w:rPr>
              <w:t>The person responsible for a</w:t>
            </w:r>
            <w:r>
              <w:rPr>
                <w:rFonts w:eastAsia="Times New Roman" w:cstheme="minorHAnsi"/>
                <w:sz w:val="24"/>
                <w:szCs w:val="24"/>
                <w:lang w:eastAsia="en-IE"/>
              </w:rPr>
              <w:t xml:space="preserve"> specific a</w:t>
            </w:r>
            <w:r w:rsidRPr="00B44A6B">
              <w:rPr>
                <w:rFonts w:eastAsia="Times New Roman" w:cstheme="minorHAnsi"/>
                <w:sz w:val="24"/>
                <w:szCs w:val="24"/>
                <w:lang w:eastAsia="en-IE"/>
              </w:rPr>
              <w:t>dvertising campaign, should ensure that available programmes are promoted throughout the year.</w:t>
            </w:r>
          </w:p>
          <w:p w14:paraId="5D76586F" w14:textId="77777777" w:rsidR="00733327" w:rsidRPr="00B44A6B" w:rsidRDefault="00733327" w:rsidP="00F022F2">
            <w:pPr>
              <w:textAlignment w:val="baseline"/>
              <w:rPr>
                <w:rFonts w:eastAsia="Times New Roman" w:cstheme="minorHAnsi"/>
                <w:sz w:val="24"/>
                <w:szCs w:val="24"/>
                <w:lang w:eastAsia="en-IE"/>
              </w:rPr>
            </w:pPr>
            <w:r w:rsidRPr="00B44A6B">
              <w:rPr>
                <w:rFonts w:eastAsia="Times New Roman" w:cstheme="minorHAnsi"/>
                <w:sz w:val="24"/>
                <w:szCs w:val="24"/>
                <w:lang w:eastAsia="en-IE"/>
              </w:rPr>
              <w:t xml:space="preserve">  </w:t>
            </w:r>
          </w:p>
        </w:tc>
      </w:tr>
      <w:tr w:rsidR="00733327" w:rsidRPr="00F063D4" w14:paraId="3185DEDD" w14:textId="77777777" w:rsidTr="00F022F2">
        <w:tc>
          <w:tcPr>
            <w:tcW w:w="535" w:type="dxa"/>
          </w:tcPr>
          <w:p w14:paraId="3FB7EE0C" w14:textId="77777777" w:rsidR="00733327" w:rsidRPr="00B44A6B" w:rsidRDefault="00733327" w:rsidP="00F022F2">
            <w:pPr>
              <w:textAlignment w:val="baseline"/>
              <w:rPr>
                <w:rFonts w:eastAsia="Times New Roman" w:cstheme="minorHAnsi"/>
                <w:sz w:val="24"/>
                <w:szCs w:val="24"/>
                <w:lang w:eastAsia="en-IE"/>
              </w:rPr>
            </w:pPr>
            <w:r>
              <w:rPr>
                <w:rFonts w:eastAsia="Times New Roman" w:cstheme="minorHAnsi"/>
                <w:sz w:val="24"/>
                <w:szCs w:val="24"/>
                <w:lang w:eastAsia="en-IE"/>
              </w:rPr>
              <w:t>4</w:t>
            </w:r>
          </w:p>
        </w:tc>
        <w:tc>
          <w:tcPr>
            <w:tcW w:w="8481" w:type="dxa"/>
          </w:tcPr>
          <w:p w14:paraId="0E3427E4" w14:textId="77777777" w:rsidR="00733327" w:rsidRPr="00B44A6B" w:rsidRDefault="00733327" w:rsidP="00F022F2">
            <w:pPr>
              <w:textAlignment w:val="baseline"/>
              <w:rPr>
                <w:rFonts w:eastAsia="Times New Roman" w:cstheme="minorHAnsi"/>
                <w:sz w:val="24"/>
                <w:szCs w:val="24"/>
                <w:lang w:eastAsia="en-IE"/>
              </w:rPr>
            </w:pPr>
            <w:r w:rsidRPr="00B44A6B">
              <w:rPr>
                <w:rFonts w:eastAsia="Times New Roman" w:cstheme="minorHAnsi"/>
                <w:sz w:val="24"/>
                <w:szCs w:val="24"/>
                <w:lang w:eastAsia="en-IE"/>
              </w:rPr>
              <w:t xml:space="preserve">The relevant </w:t>
            </w:r>
            <w:r w:rsidRPr="00B569BD">
              <w:rPr>
                <w:rStyle w:val="normaltextrun"/>
                <w:rFonts w:ascii="Calibri" w:hAnsi="Calibri" w:cs="Calibri"/>
                <w:sz w:val="24"/>
                <w:szCs w:val="24"/>
              </w:rPr>
              <w:t>Programme Co-ordinator</w:t>
            </w:r>
            <w:r w:rsidRPr="00B44A6B">
              <w:rPr>
                <w:rFonts w:eastAsia="Times New Roman" w:cstheme="minorHAnsi"/>
                <w:sz w:val="24"/>
                <w:szCs w:val="24"/>
                <w:lang w:eastAsia="en-IE"/>
              </w:rPr>
              <w:t xml:space="preserve"> should share publication of data regarding KWETB FET to relevant stakeholders.</w:t>
            </w:r>
          </w:p>
          <w:p w14:paraId="01EB0E07" w14:textId="77777777" w:rsidR="00733327" w:rsidRPr="00B44A6B" w:rsidRDefault="00733327" w:rsidP="00F022F2">
            <w:pPr>
              <w:textAlignment w:val="baseline"/>
              <w:rPr>
                <w:rFonts w:eastAsia="Times New Roman" w:cstheme="minorHAnsi"/>
                <w:sz w:val="24"/>
                <w:szCs w:val="24"/>
                <w:lang w:eastAsia="en-IE"/>
              </w:rPr>
            </w:pPr>
          </w:p>
        </w:tc>
      </w:tr>
      <w:tr w:rsidR="00733327" w:rsidRPr="00F063D4" w14:paraId="6F6E0D7E" w14:textId="77777777" w:rsidTr="00F022F2">
        <w:tc>
          <w:tcPr>
            <w:tcW w:w="535" w:type="dxa"/>
          </w:tcPr>
          <w:p w14:paraId="77C3803A" w14:textId="77777777" w:rsidR="00733327" w:rsidRPr="00B44A6B" w:rsidRDefault="00733327" w:rsidP="00F022F2">
            <w:pPr>
              <w:textAlignment w:val="baseline"/>
              <w:rPr>
                <w:rFonts w:eastAsia="Times New Roman" w:cstheme="minorHAnsi"/>
                <w:sz w:val="24"/>
                <w:szCs w:val="24"/>
                <w:lang w:eastAsia="en-IE"/>
              </w:rPr>
            </w:pPr>
            <w:r>
              <w:rPr>
                <w:rFonts w:eastAsia="Times New Roman" w:cstheme="minorHAnsi"/>
                <w:sz w:val="24"/>
                <w:szCs w:val="24"/>
                <w:lang w:eastAsia="en-IE"/>
              </w:rPr>
              <w:t>5</w:t>
            </w:r>
          </w:p>
        </w:tc>
        <w:tc>
          <w:tcPr>
            <w:tcW w:w="8481" w:type="dxa"/>
          </w:tcPr>
          <w:p w14:paraId="221B2DE7" w14:textId="77777777" w:rsidR="00733327" w:rsidRPr="00B44A6B" w:rsidRDefault="00733327" w:rsidP="00F022F2">
            <w:pPr>
              <w:textAlignment w:val="baseline"/>
              <w:rPr>
                <w:rFonts w:eastAsia="Times New Roman" w:cstheme="minorHAnsi"/>
                <w:sz w:val="24"/>
                <w:szCs w:val="24"/>
                <w:lang w:eastAsia="en-IE"/>
              </w:rPr>
            </w:pPr>
            <w:r w:rsidRPr="00B44A6B">
              <w:rPr>
                <w:rFonts w:eastAsia="Times New Roman" w:cstheme="minorHAnsi"/>
                <w:sz w:val="24"/>
                <w:szCs w:val="24"/>
                <w:lang w:eastAsia="en-IE"/>
              </w:rPr>
              <w:t xml:space="preserve">The relevant </w:t>
            </w:r>
            <w:r w:rsidRPr="00B569BD">
              <w:rPr>
                <w:rStyle w:val="normaltextrun"/>
                <w:rFonts w:ascii="Calibri" w:hAnsi="Calibri" w:cs="Calibri"/>
                <w:sz w:val="24"/>
                <w:szCs w:val="24"/>
              </w:rPr>
              <w:t>Programme Co-ordinator</w:t>
            </w:r>
            <w:r w:rsidRPr="00B44A6B">
              <w:rPr>
                <w:rFonts w:eastAsia="Times New Roman" w:cstheme="minorHAnsi"/>
                <w:sz w:val="24"/>
                <w:szCs w:val="24"/>
                <w:lang w:eastAsia="en-IE"/>
              </w:rPr>
              <w:t xml:space="preserve"> should share information with local partnerships through promotional material and invitations to events such as Open Days and Graduation Ceremonies.</w:t>
            </w:r>
          </w:p>
          <w:p w14:paraId="07BCC213" w14:textId="77777777" w:rsidR="00733327" w:rsidRPr="00B44A6B" w:rsidRDefault="00733327" w:rsidP="00F022F2">
            <w:pPr>
              <w:textAlignment w:val="baseline"/>
              <w:rPr>
                <w:rFonts w:eastAsia="Times New Roman" w:cstheme="minorHAnsi"/>
                <w:sz w:val="24"/>
                <w:szCs w:val="24"/>
                <w:lang w:eastAsia="en-IE"/>
              </w:rPr>
            </w:pPr>
          </w:p>
        </w:tc>
      </w:tr>
      <w:tr w:rsidR="00733327" w:rsidRPr="00F063D4" w14:paraId="5651C0B4" w14:textId="77777777" w:rsidTr="00F022F2">
        <w:tc>
          <w:tcPr>
            <w:tcW w:w="535" w:type="dxa"/>
          </w:tcPr>
          <w:p w14:paraId="6C089C9F" w14:textId="77777777" w:rsidR="00733327" w:rsidRPr="00B44A6B" w:rsidRDefault="00733327" w:rsidP="00F022F2">
            <w:pPr>
              <w:textAlignment w:val="baseline"/>
              <w:rPr>
                <w:rFonts w:eastAsia="Times New Roman" w:cstheme="minorHAnsi"/>
                <w:sz w:val="24"/>
                <w:szCs w:val="24"/>
                <w:lang w:eastAsia="en-IE"/>
              </w:rPr>
            </w:pPr>
            <w:r>
              <w:rPr>
                <w:rFonts w:eastAsia="Times New Roman" w:cstheme="minorHAnsi"/>
                <w:sz w:val="24"/>
                <w:szCs w:val="24"/>
                <w:lang w:eastAsia="en-IE"/>
              </w:rPr>
              <w:t>6</w:t>
            </w:r>
          </w:p>
        </w:tc>
        <w:tc>
          <w:tcPr>
            <w:tcW w:w="8481" w:type="dxa"/>
          </w:tcPr>
          <w:p w14:paraId="216D77B9" w14:textId="77777777" w:rsidR="00733327" w:rsidRPr="00B44A6B" w:rsidRDefault="00733327" w:rsidP="00F022F2">
            <w:pPr>
              <w:pStyle w:val="paragraph"/>
              <w:spacing w:before="0" w:beforeAutospacing="0" w:after="0" w:afterAutospacing="0"/>
              <w:textAlignment w:val="baseline"/>
              <w:rPr>
                <w:rFonts w:asciiTheme="minorHAnsi" w:hAnsiTheme="minorHAnsi" w:cstheme="minorHAnsi"/>
              </w:rPr>
            </w:pPr>
            <w:r w:rsidRPr="00B44A6B">
              <w:rPr>
                <w:rFonts w:asciiTheme="minorHAnsi" w:hAnsiTheme="minorHAnsi" w:cstheme="minorHAnsi"/>
              </w:rPr>
              <w:t xml:space="preserve">The relevant </w:t>
            </w:r>
            <w:r w:rsidRPr="00B569BD">
              <w:rPr>
                <w:rStyle w:val="normaltextrun"/>
                <w:rFonts w:ascii="Calibri" w:hAnsi="Calibri" w:cs="Calibri"/>
              </w:rPr>
              <w:t>Programme Co-ordinator</w:t>
            </w:r>
            <w:r w:rsidRPr="00B44A6B">
              <w:rPr>
                <w:rFonts w:asciiTheme="minorHAnsi" w:hAnsiTheme="minorHAnsi" w:cstheme="minorHAnsi"/>
              </w:rPr>
              <w:t xml:space="preserve"> should </w:t>
            </w:r>
            <w:r w:rsidRPr="00B44A6B">
              <w:rPr>
                <w:rStyle w:val="normaltextrun"/>
                <w:rFonts w:asciiTheme="minorHAnsi" w:hAnsiTheme="minorHAnsi" w:cstheme="minorHAnsi"/>
              </w:rPr>
              <w:t>celebrate achievements and the day-to-day activities through social media posts, notice boards, newsletters and newspaper articles. </w:t>
            </w:r>
            <w:r w:rsidRPr="00B44A6B">
              <w:rPr>
                <w:rStyle w:val="eop"/>
                <w:rFonts w:asciiTheme="minorHAnsi" w:hAnsiTheme="minorHAnsi" w:cstheme="minorHAnsi"/>
              </w:rPr>
              <w:t> </w:t>
            </w:r>
          </w:p>
          <w:p w14:paraId="7F96C6B3" w14:textId="77777777" w:rsidR="00733327" w:rsidRPr="00B44A6B" w:rsidRDefault="00733327" w:rsidP="00F022F2">
            <w:pPr>
              <w:textAlignment w:val="baseline"/>
              <w:rPr>
                <w:rFonts w:cstheme="minorHAnsi"/>
                <w:sz w:val="24"/>
                <w:szCs w:val="24"/>
              </w:rPr>
            </w:pPr>
          </w:p>
        </w:tc>
      </w:tr>
      <w:tr w:rsidR="00733327" w:rsidRPr="00F063D4" w14:paraId="1C4BE949" w14:textId="77777777" w:rsidTr="00F022F2">
        <w:tc>
          <w:tcPr>
            <w:tcW w:w="535" w:type="dxa"/>
          </w:tcPr>
          <w:p w14:paraId="195AA703" w14:textId="77777777" w:rsidR="00733327" w:rsidRPr="00B44A6B" w:rsidRDefault="00733327" w:rsidP="00F022F2">
            <w:pPr>
              <w:textAlignment w:val="baseline"/>
              <w:rPr>
                <w:rFonts w:eastAsia="Times New Roman" w:cstheme="minorHAnsi"/>
                <w:sz w:val="24"/>
                <w:szCs w:val="24"/>
                <w:lang w:eastAsia="en-IE"/>
              </w:rPr>
            </w:pPr>
            <w:r>
              <w:rPr>
                <w:rFonts w:eastAsia="Times New Roman" w:cstheme="minorHAnsi"/>
                <w:sz w:val="24"/>
                <w:szCs w:val="24"/>
                <w:lang w:eastAsia="en-IE"/>
              </w:rPr>
              <w:t>7</w:t>
            </w:r>
          </w:p>
        </w:tc>
        <w:tc>
          <w:tcPr>
            <w:tcW w:w="8481" w:type="dxa"/>
          </w:tcPr>
          <w:p w14:paraId="45C5EDF7" w14:textId="77777777" w:rsidR="00733327" w:rsidRPr="00B44A6B" w:rsidRDefault="00733327" w:rsidP="00F022F2">
            <w:pPr>
              <w:pStyle w:val="paragraph"/>
              <w:spacing w:before="0" w:beforeAutospacing="0" w:after="0" w:afterAutospacing="0"/>
              <w:textAlignment w:val="baseline"/>
              <w:rPr>
                <w:rStyle w:val="normaltextrun"/>
                <w:rFonts w:asciiTheme="minorHAnsi" w:hAnsiTheme="minorHAnsi" w:cstheme="minorHAnsi"/>
              </w:rPr>
            </w:pPr>
            <w:r w:rsidRPr="00B44A6B">
              <w:rPr>
                <w:rStyle w:val="normaltextrun"/>
                <w:rFonts w:asciiTheme="minorHAnsi" w:hAnsiTheme="minorHAnsi" w:cstheme="minorHAnsi"/>
              </w:rPr>
              <w:t xml:space="preserve">The relevant </w:t>
            </w:r>
            <w:r w:rsidRPr="00B569BD">
              <w:rPr>
                <w:rStyle w:val="normaltextrun"/>
                <w:rFonts w:ascii="Calibri" w:hAnsi="Calibri" w:cs="Calibri"/>
              </w:rPr>
              <w:t>Programme Co-ordinator</w:t>
            </w:r>
            <w:r w:rsidRPr="00B44A6B">
              <w:rPr>
                <w:rStyle w:val="normaltextrun"/>
                <w:rFonts w:asciiTheme="minorHAnsi" w:hAnsiTheme="minorHAnsi" w:cstheme="minorHAnsi"/>
              </w:rPr>
              <w:t xml:space="preserve"> should collaborate with local agencies, employers and community groups where appropriate and practical.  </w:t>
            </w:r>
          </w:p>
          <w:p w14:paraId="5546E855" w14:textId="77777777" w:rsidR="00733327" w:rsidRPr="00B44A6B" w:rsidRDefault="00733327" w:rsidP="00F022F2">
            <w:pPr>
              <w:pStyle w:val="paragraph"/>
              <w:spacing w:before="0" w:beforeAutospacing="0" w:after="0" w:afterAutospacing="0"/>
              <w:textAlignment w:val="baseline"/>
              <w:rPr>
                <w:rFonts w:asciiTheme="minorHAnsi" w:hAnsiTheme="minorHAnsi" w:cstheme="minorHAnsi"/>
              </w:rPr>
            </w:pPr>
          </w:p>
        </w:tc>
      </w:tr>
      <w:tr w:rsidR="00733327" w:rsidRPr="00F063D4" w14:paraId="5A77C9F2" w14:textId="77777777" w:rsidTr="00F022F2">
        <w:tc>
          <w:tcPr>
            <w:tcW w:w="535" w:type="dxa"/>
          </w:tcPr>
          <w:p w14:paraId="27415848" w14:textId="77777777" w:rsidR="00733327" w:rsidRPr="00B44A6B" w:rsidRDefault="00733327" w:rsidP="00F022F2">
            <w:pPr>
              <w:textAlignment w:val="baseline"/>
              <w:rPr>
                <w:rFonts w:eastAsia="Times New Roman" w:cstheme="minorHAnsi"/>
                <w:sz w:val="24"/>
                <w:szCs w:val="24"/>
                <w:lang w:eastAsia="en-IE"/>
              </w:rPr>
            </w:pPr>
            <w:r>
              <w:rPr>
                <w:rFonts w:eastAsia="Times New Roman" w:cstheme="minorHAnsi"/>
                <w:sz w:val="24"/>
                <w:szCs w:val="24"/>
                <w:lang w:eastAsia="en-IE"/>
              </w:rPr>
              <w:t>8</w:t>
            </w:r>
          </w:p>
        </w:tc>
        <w:tc>
          <w:tcPr>
            <w:tcW w:w="8481" w:type="dxa"/>
          </w:tcPr>
          <w:p w14:paraId="10E495EE" w14:textId="77777777" w:rsidR="00733327" w:rsidRPr="00B44A6B" w:rsidRDefault="00733327" w:rsidP="00F022F2">
            <w:pPr>
              <w:pStyle w:val="paragraph"/>
              <w:spacing w:before="0" w:beforeAutospacing="0" w:after="0" w:afterAutospacing="0"/>
              <w:textAlignment w:val="baseline"/>
              <w:rPr>
                <w:rFonts w:asciiTheme="minorHAnsi" w:hAnsiTheme="minorHAnsi" w:cstheme="minorHAnsi"/>
              </w:rPr>
            </w:pPr>
            <w:r w:rsidRPr="00B44A6B">
              <w:rPr>
                <w:rStyle w:val="normaltextrun"/>
                <w:rFonts w:asciiTheme="minorHAnsi" w:hAnsiTheme="minorHAnsi" w:cstheme="minorHAnsi"/>
              </w:rPr>
              <w:t xml:space="preserve">The relevant </w:t>
            </w:r>
            <w:r w:rsidRPr="00B569BD">
              <w:rPr>
                <w:rStyle w:val="normaltextrun"/>
                <w:rFonts w:ascii="Calibri" w:hAnsi="Calibri" w:cs="Calibri"/>
              </w:rPr>
              <w:t>Programme Co-ordinator</w:t>
            </w:r>
            <w:r w:rsidRPr="00B44A6B">
              <w:rPr>
                <w:rStyle w:val="normaltextrun"/>
                <w:rFonts w:asciiTheme="minorHAnsi" w:hAnsiTheme="minorHAnsi" w:cstheme="minorHAnsi"/>
              </w:rPr>
              <w:t xml:space="preserve"> should encourage and promote constructive engagement between staff, students and stakeholders within and outside centres and colleges. </w:t>
            </w:r>
            <w:r w:rsidRPr="00B44A6B">
              <w:rPr>
                <w:rStyle w:val="eop"/>
                <w:rFonts w:asciiTheme="minorHAnsi" w:hAnsiTheme="minorHAnsi" w:cstheme="minorHAnsi"/>
              </w:rPr>
              <w:t> </w:t>
            </w:r>
          </w:p>
          <w:p w14:paraId="2C5881C9" w14:textId="77777777" w:rsidR="00733327" w:rsidRPr="00B44A6B" w:rsidRDefault="00733327" w:rsidP="00F022F2">
            <w:pPr>
              <w:pStyle w:val="paragraph"/>
              <w:spacing w:before="0" w:beforeAutospacing="0" w:after="0" w:afterAutospacing="0"/>
              <w:textAlignment w:val="baseline"/>
              <w:rPr>
                <w:rStyle w:val="normaltextrun"/>
                <w:rFonts w:asciiTheme="minorHAnsi" w:hAnsiTheme="minorHAnsi" w:cstheme="minorHAnsi"/>
              </w:rPr>
            </w:pPr>
          </w:p>
        </w:tc>
      </w:tr>
    </w:tbl>
    <w:p w14:paraId="408B1F28" w14:textId="77777777" w:rsidR="00733327" w:rsidRDefault="00733327" w:rsidP="00733327">
      <w:pPr>
        <w:pStyle w:val="paragraph"/>
        <w:spacing w:before="0" w:beforeAutospacing="0" w:after="0" w:afterAutospacing="0"/>
        <w:jc w:val="both"/>
        <w:textAlignment w:val="baseline"/>
        <w:rPr>
          <w:rFonts w:ascii="Segoe UI" w:hAnsi="Segoe UI" w:cs="Segoe UI"/>
          <w:sz w:val="18"/>
          <w:szCs w:val="18"/>
        </w:rPr>
      </w:pPr>
    </w:p>
    <w:p w14:paraId="34371DFE" w14:textId="77777777" w:rsidR="00E50EB4" w:rsidRDefault="00733327" w:rsidP="00733327">
      <w:pPr>
        <w:pStyle w:val="paragraph"/>
        <w:spacing w:before="0" w:beforeAutospacing="0" w:after="0" w:afterAutospacing="0"/>
        <w:jc w:val="both"/>
        <w:textAlignment w:val="baseline"/>
        <w:rPr>
          <w:rStyle w:val="eop"/>
          <w:rFonts w:ascii="Calibri" w:hAnsi="Calibri" w:cs="Calibri"/>
        </w:rPr>
      </w:pPr>
      <w:r>
        <w:rPr>
          <w:rStyle w:val="eop"/>
          <w:rFonts w:ascii="Calibri" w:hAnsi="Calibri" w:cs="Calibri"/>
        </w:rPr>
        <w:t> </w:t>
      </w:r>
      <w:r>
        <w:rPr>
          <w:rStyle w:val="normaltextrun"/>
          <w:rFonts w:ascii="Calibri" w:hAnsi="Calibri" w:cs="Calibri"/>
        </w:rPr>
        <w:t>  </w:t>
      </w:r>
      <w:r>
        <w:rPr>
          <w:rStyle w:val="eop"/>
          <w:rFonts w:ascii="Calibri" w:hAnsi="Calibri" w:cs="Calibri"/>
        </w:rPr>
        <w:t> </w:t>
      </w:r>
    </w:p>
    <w:p w14:paraId="418678A8" w14:textId="77777777" w:rsidR="00E50EB4" w:rsidRDefault="00E50EB4" w:rsidP="00733327">
      <w:pPr>
        <w:pStyle w:val="paragraph"/>
        <w:spacing w:before="0" w:beforeAutospacing="0" w:after="0" w:afterAutospacing="0"/>
        <w:jc w:val="both"/>
        <w:textAlignment w:val="baseline"/>
        <w:rPr>
          <w:rFonts w:asciiTheme="minorHAnsi" w:hAnsiTheme="minorHAnsi" w:cstheme="minorHAnsi"/>
          <w:b/>
          <w:color w:val="2E74B5" w:themeColor="accent5" w:themeShade="BF"/>
          <w:sz w:val="28"/>
          <w:szCs w:val="28"/>
        </w:rPr>
      </w:pPr>
      <w:r>
        <w:rPr>
          <w:noProof/>
        </w:rPr>
        <w:drawing>
          <wp:anchor distT="0" distB="0" distL="114300" distR="114300" simplePos="0" relativeHeight="251660288" behindDoc="0" locked="0" layoutInCell="1" allowOverlap="1" wp14:anchorId="6B165B96" wp14:editId="53C488B8">
            <wp:simplePos x="0" y="0"/>
            <wp:positionH relativeFrom="margin">
              <wp:align>center</wp:align>
            </wp:positionH>
            <wp:positionV relativeFrom="margin">
              <wp:posOffset>8581390</wp:posOffset>
            </wp:positionV>
            <wp:extent cx="6831965" cy="990600"/>
            <wp:effectExtent l="0" t="0" r="0" b="0"/>
            <wp:wrapTopAndBottom/>
            <wp:docPr id="3" name="Picture 3" descr="C:\Users\aislingforan\AppData\Local\Microsoft\Windows\INetCache\Content.MSO\B59D2AE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slingforan\AppData\Local\Microsoft\Windows\INetCache\Content.MSO\B59D2AE8.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1965" cy="990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CFA7A3" w14:textId="77777777" w:rsidR="00E50EB4" w:rsidRDefault="00E50EB4" w:rsidP="00733327">
      <w:pPr>
        <w:pStyle w:val="paragraph"/>
        <w:spacing w:before="0" w:beforeAutospacing="0" w:after="0" w:afterAutospacing="0"/>
        <w:jc w:val="both"/>
        <w:textAlignment w:val="baseline"/>
        <w:rPr>
          <w:rFonts w:asciiTheme="minorHAnsi" w:hAnsiTheme="minorHAnsi" w:cstheme="minorHAnsi"/>
          <w:b/>
          <w:color w:val="2E74B5" w:themeColor="accent5" w:themeShade="BF"/>
          <w:sz w:val="28"/>
          <w:szCs w:val="28"/>
        </w:rPr>
      </w:pPr>
    </w:p>
    <w:p w14:paraId="5F5EF38D" w14:textId="77777777" w:rsidR="00733327" w:rsidRPr="00F063D4" w:rsidRDefault="00733327" w:rsidP="00733327">
      <w:pPr>
        <w:pStyle w:val="paragraph"/>
        <w:spacing w:before="0" w:beforeAutospacing="0" w:after="0" w:afterAutospacing="0"/>
        <w:jc w:val="both"/>
        <w:textAlignment w:val="baseline"/>
        <w:rPr>
          <w:b/>
          <w:color w:val="2E74B5" w:themeColor="accent5" w:themeShade="BF"/>
          <w:sz w:val="28"/>
          <w:szCs w:val="28"/>
        </w:rPr>
      </w:pPr>
      <w:r w:rsidRPr="004A5648">
        <w:rPr>
          <w:rFonts w:asciiTheme="minorHAnsi" w:hAnsiTheme="minorHAnsi" w:cstheme="minorHAnsi"/>
          <w:b/>
          <w:color w:val="2E74B5" w:themeColor="accent5" w:themeShade="BF"/>
          <w:sz w:val="28"/>
          <w:szCs w:val="28"/>
        </w:rPr>
        <w:t>Link to other Policies/Procedures</w:t>
      </w:r>
    </w:p>
    <w:tbl>
      <w:tblPr>
        <w:tblStyle w:val="TableGrid"/>
        <w:tblW w:w="0" w:type="auto"/>
        <w:tblLook w:val="04A0" w:firstRow="1" w:lastRow="0" w:firstColumn="1" w:lastColumn="0" w:noHBand="0" w:noVBand="1"/>
      </w:tblPr>
      <w:tblGrid>
        <w:gridCol w:w="1129"/>
        <w:gridCol w:w="4820"/>
      </w:tblGrid>
      <w:tr w:rsidR="00733327" w:rsidRPr="00F063D4" w14:paraId="4BA329EE" w14:textId="77777777" w:rsidTr="00F022F2">
        <w:tc>
          <w:tcPr>
            <w:tcW w:w="1129" w:type="dxa"/>
          </w:tcPr>
          <w:p w14:paraId="58B2522C" w14:textId="77777777" w:rsidR="00733327" w:rsidRPr="00F063D4" w:rsidRDefault="00733327" w:rsidP="00F022F2">
            <w:pPr>
              <w:rPr>
                <w:sz w:val="24"/>
                <w:szCs w:val="24"/>
              </w:rPr>
            </w:pPr>
            <w:r>
              <w:rPr>
                <w:sz w:val="24"/>
                <w:szCs w:val="24"/>
              </w:rPr>
              <w:t>2.1.2</w:t>
            </w:r>
          </w:p>
        </w:tc>
        <w:tc>
          <w:tcPr>
            <w:tcW w:w="4820" w:type="dxa"/>
          </w:tcPr>
          <w:p w14:paraId="4C0735AE" w14:textId="77777777" w:rsidR="00733327" w:rsidRPr="00F063D4" w:rsidRDefault="00733327" w:rsidP="00F022F2">
            <w:pPr>
              <w:rPr>
                <w:sz w:val="24"/>
                <w:szCs w:val="24"/>
              </w:rPr>
            </w:pPr>
            <w:r>
              <w:rPr>
                <w:sz w:val="24"/>
                <w:szCs w:val="24"/>
              </w:rPr>
              <w:t>Promoting and Marketing Programmes</w:t>
            </w:r>
          </w:p>
        </w:tc>
      </w:tr>
      <w:tr w:rsidR="00733327" w:rsidRPr="00F063D4" w14:paraId="27A90EB4" w14:textId="77777777" w:rsidTr="00F022F2">
        <w:tc>
          <w:tcPr>
            <w:tcW w:w="1129" w:type="dxa"/>
          </w:tcPr>
          <w:p w14:paraId="4D8C6182" w14:textId="77777777" w:rsidR="00733327" w:rsidRPr="00F063D4" w:rsidRDefault="00733327" w:rsidP="00F022F2">
            <w:pPr>
              <w:rPr>
                <w:sz w:val="24"/>
                <w:szCs w:val="24"/>
              </w:rPr>
            </w:pPr>
            <w:r>
              <w:rPr>
                <w:sz w:val="24"/>
                <w:szCs w:val="24"/>
              </w:rPr>
              <w:t>3.4.4</w:t>
            </w:r>
          </w:p>
        </w:tc>
        <w:tc>
          <w:tcPr>
            <w:tcW w:w="4820" w:type="dxa"/>
          </w:tcPr>
          <w:p w14:paraId="1D858E19" w14:textId="77777777" w:rsidR="00733327" w:rsidRPr="00F063D4" w:rsidRDefault="00733327" w:rsidP="00F022F2">
            <w:pPr>
              <w:rPr>
                <w:sz w:val="24"/>
                <w:szCs w:val="24"/>
              </w:rPr>
            </w:pPr>
            <w:r>
              <w:rPr>
                <w:sz w:val="24"/>
                <w:szCs w:val="24"/>
              </w:rPr>
              <w:t>GDPR Policy</w:t>
            </w:r>
          </w:p>
        </w:tc>
      </w:tr>
    </w:tbl>
    <w:p w14:paraId="1BA5DD05" w14:textId="77777777" w:rsidR="00733327" w:rsidRDefault="00733327" w:rsidP="00733327">
      <w:pPr>
        <w:spacing w:after="0"/>
      </w:pPr>
    </w:p>
    <w:p w14:paraId="451CC330" w14:textId="77777777" w:rsidR="00923A77" w:rsidRDefault="00E50EB4">
      <w:bookmarkStart w:id="1" w:name="_GoBack"/>
      <w:r>
        <w:rPr>
          <w:noProof/>
        </w:rPr>
        <w:drawing>
          <wp:anchor distT="0" distB="0" distL="114300" distR="114300" simplePos="0" relativeHeight="251662336" behindDoc="0" locked="0" layoutInCell="1" allowOverlap="1" wp14:anchorId="6C3DCFB8" wp14:editId="1A56B9FC">
            <wp:simplePos x="0" y="0"/>
            <wp:positionH relativeFrom="margin">
              <wp:posOffset>-510540</wp:posOffset>
            </wp:positionH>
            <wp:positionV relativeFrom="margin">
              <wp:posOffset>8415655</wp:posOffset>
            </wp:positionV>
            <wp:extent cx="6831965" cy="990600"/>
            <wp:effectExtent l="0" t="0" r="0" b="0"/>
            <wp:wrapTopAndBottom/>
            <wp:docPr id="1" name="Picture 1" descr="C:\Users\aislingforan\AppData\Local\Microsoft\Windows\INetCache\Content.MSO\B59D2AE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slingforan\AppData\Local\Microsoft\Windows\INetCache\Content.MSO\B59D2AE8.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1965" cy="9906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1"/>
    </w:p>
    <w:sectPr w:rsidR="00923A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400F67"/>
    <w:multiLevelType w:val="multilevel"/>
    <w:tmpl w:val="3760E1A2"/>
    <w:lvl w:ilvl="0">
      <w:start w:val="2"/>
      <w:numFmt w:val="decimal"/>
      <w:lvlText w:val="%1"/>
      <w:lvlJc w:val="left"/>
      <w:pPr>
        <w:ind w:left="516" w:hanging="516"/>
      </w:pPr>
      <w:rPr>
        <w:rFonts w:hint="default"/>
      </w:rPr>
    </w:lvl>
    <w:lvl w:ilvl="1">
      <w:start w:val="1"/>
      <w:numFmt w:val="decimal"/>
      <w:lvlText w:val="%1.%2"/>
      <w:lvlJc w:val="left"/>
      <w:pPr>
        <w:ind w:left="1056" w:hanging="516"/>
      </w:pPr>
      <w:rPr>
        <w:rFonts w:hint="default"/>
      </w:rPr>
    </w:lvl>
    <w:lvl w:ilvl="2">
      <w:start w:val="7"/>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 w15:restartNumberingAfterBreak="0">
    <w:nsid w:val="4CCA2538"/>
    <w:multiLevelType w:val="multilevel"/>
    <w:tmpl w:val="3BBE480A"/>
    <w:lvl w:ilvl="0">
      <w:start w:val="1"/>
      <w:numFmt w:val="decimal"/>
      <w:lvlText w:val="%1."/>
      <w:lvlJc w:val="left"/>
      <w:pPr>
        <w:ind w:left="720" w:hanging="360"/>
      </w:pPr>
      <w:rPr>
        <w:rFonts w:ascii="Calibri" w:hAnsi="Calibri" w:cs="Calibri" w:hint="default"/>
      </w:rPr>
    </w:lvl>
    <w:lvl w:ilvl="1">
      <w:start w:val="1"/>
      <w:numFmt w:val="decimal"/>
      <w:isLgl/>
      <w:lvlText w:val="%1.%2"/>
      <w:lvlJc w:val="left"/>
      <w:pPr>
        <w:ind w:left="940" w:hanging="5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68170111"/>
    <w:multiLevelType w:val="hybridMultilevel"/>
    <w:tmpl w:val="281AE2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327"/>
    <w:rsid w:val="004C2C05"/>
    <w:rsid w:val="005D2180"/>
    <w:rsid w:val="00733327"/>
    <w:rsid w:val="00E50EB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D72CB"/>
  <w15:chartTrackingRefBased/>
  <w15:docId w15:val="{E947806D-581C-4BDB-906A-499E4D184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3327"/>
  </w:style>
  <w:style w:type="paragraph" w:styleId="Heading2">
    <w:name w:val="heading 2"/>
    <w:basedOn w:val="Normal"/>
    <w:next w:val="Normal"/>
    <w:link w:val="Heading2Char"/>
    <w:uiPriority w:val="9"/>
    <w:unhideWhenUsed/>
    <w:qFormat/>
    <w:rsid w:val="00733327"/>
    <w:pPr>
      <w:keepNext/>
      <w:keepLines/>
      <w:spacing w:before="40" w:after="0"/>
      <w:outlineLvl w:val="1"/>
    </w:pPr>
    <w:rPr>
      <w:rFonts w:asciiTheme="majorHAnsi" w:eastAsiaTheme="majorEastAsia" w:hAnsiTheme="majorHAnsi" w:cstheme="majorBidi"/>
      <w:color w:val="2F5496"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33327"/>
    <w:rPr>
      <w:rFonts w:asciiTheme="majorHAnsi" w:eastAsiaTheme="majorEastAsia" w:hAnsiTheme="majorHAnsi" w:cstheme="majorBidi"/>
      <w:color w:val="2F5496" w:themeColor="accent1" w:themeShade="BF"/>
      <w:sz w:val="26"/>
      <w:szCs w:val="26"/>
      <w:lang w:val="en-GB"/>
    </w:rPr>
  </w:style>
  <w:style w:type="paragraph" w:customStyle="1" w:styleId="paragraph">
    <w:name w:val="paragraph"/>
    <w:basedOn w:val="Normal"/>
    <w:rsid w:val="0073332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TableGrid">
    <w:name w:val="Table Grid"/>
    <w:basedOn w:val="TableNormal"/>
    <w:uiPriority w:val="39"/>
    <w:rsid w:val="007333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33327"/>
  </w:style>
  <w:style w:type="character" w:customStyle="1" w:styleId="eop">
    <w:name w:val="eop"/>
    <w:basedOn w:val="DefaultParagraphFont"/>
    <w:rsid w:val="00733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c106440-bd07-42b9-9568-aa5988c6ade3">
      <Terms xmlns="http://schemas.microsoft.com/office/infopath/2007/PartnerControls"/>
    </lcf76f155ced4ddcb4097134ff3c332f>
    <TaxCatchAll xmlns="c93c20b4-0361-498e-893e-62d6d45ae52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FE62539171E049929A48C24F210036" ma:contentTypeVersion="17" ma:contentTypeDescription="Create a new document." ma:contentTypeScope="" ma:versionID="816c4804e902b1661b59b73de939e826">
  <xsd:schema xmlns:xsd="http://www.w3.org/2001/XMLSchema" xmlns:xs="http://www.w3.org/2001/XMLSchema" xmlns:p="http://schemas.microsoft.com/office/2006/metadata/properties" xmlns:ns2="2c106440-bd07-42b9-9568-aa5988c6ade3" xmlns:ns3="c93c20b4-0361-498e-893e-62d6d45ae52b" targetNamespace="http://schemas.microsoft.com/office/2006/metadata/properties" ma:root="true" ma:fieldsID="dd728a7fbe05a0a2e55374014b01a19f" ns2:_="" ns3:_="">
    <xsd:import namespace="2c106440-bd07-42b9-9568-aa5988c6ade3"/>
    <xsd:import namespace="c93c20b4-0361-498e-893e-62d6d45ae5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06440-bd07-42b9-9568-aa5988c6ad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a874407-1029-4ce1-88f2-8f53d5974bb2"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3c20b4-0361-498e-893e-62d6d45ae5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4deb7d-437e-4af5-a50b-97fdca7683b2}" ma:internalName="TaxCatchAll" ma:showField="CatchAllData" ma:web="c93c20b4-0361-498e-893e-62d6d45ae5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77C49E-4AE5-4F3E-9699-AEEC188D61CA}">
  <ds:schemaRefs>
    <ds:schemaRef ds:uri="http://schemas.microsoft.com/office/2006/metadata/properties"/>
    <ds:schemaRef ds:uri="http://schemas.microsoft.com/office/infopath/2007/PartnerControls"/>
    <ds:schemaRef ds:uri="2c106440-bd07-42b9-9568-aa5988c6ade3"/>
    <ds:schemaRef ds:uri="c93c20b4-0361-498e-893e-62d6d45ae52b"/>
  </ds:schemaRefs>
</ds:datastoreItem>
</file>

<file path=customXml/itemProps2.xml><?xml version="1.0" encoding="utf-8"?>
<ds:datastoreItem xmlns:ds="http://schemas.openxmlformats.org/officeDocument/2006/customXml" ds:itemID="{FEDC1358-733F-48DE-A51B-5FEECCF3CAC3}">
  <ds:schemaRefs>
    <ds:schemaRef ds:uri="http://schemas.microsoft.com/sharepoint/v3/contenttype/forms"/>
  </ds:schemaRefs>
</ds:datastoreItem>
</file>

<file path=customXml/itemProps3.xml><?xml version="1.0" encoding="utf-8"?>
<ds:datastoreItem xmlns:ds="http://schemas.openxmlformats.org/officeDocument/2006/customXml" ds:itemID="{D456D4D7-F77F-467C-9972-A11929EA23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106440-bd07-42b9-9568-aa5988c6ade3"/>
    <ds:schemaRef ds:uri="c93c20b4-0361-498e-893e-62d6d45ae5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KWETB</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Cleary</dc:creator>
  <cp:keywords/>
  <dc:description/>
  <cp:lastModifiedBy>Aisling Foran</cp:lastModifiedBy>
  <cp:revision>2</cp:revision>
  <cp:lastPrinted>2025-07-08T07:46:00Z</cp:lastPrinted>
  <dcterms:created xsi:type="dcterms:W3CDTF">2025-06-30T09:11:00Z</dcterms:created>
  <dcterms:modified xsi:type="dcterms:W3CDTF">2025-07-08T07:46:00Z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0x01010031FE62539171E049929A48C24F210036</vt:lpwstr>
  </property>
</Properties>
</file>