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233"/>
        <w:gridCol w:w="5172"/>
      </w:tblGrid>
      <w:tr w:rsidR="00520595" w:rsidRPr="00766204" w14:paraId="66CE6E6C" w14:textId="77777777" w:rsidTr="00F35CB9">
        <w:trPr>
          <w:trHeight w:val="45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BDBB9DD" w14:textId="77777777" w:rsidR="00520595" w:rsidRPr="00DC5213" w:rsidRDefault="00520595" w:rsidP="00F35CB9">
            <w:pPr>
              <w:ind w:left="113"/>
              <w:jc w:val="center"/>
              <w:rPr>
                <w:rFonts w:ascii="Calibri" w:eastAsia="Times New Roman" w:hAnsi="Calibri" w:cs="Calibri"/>
                <w:b/>
                <w:bCs/>
                <w:color w:val="009999"/>
                <w:sz w:val="28"/>
                <w:szCs w:val="28"/>
                <w:lang w:eastAsia="en-IE"/>
              </w:rPr>
            </w:pPr>
            <w:bookmarkStart w:id="0" w:name="_GoBack"/>
            <w:bookmarkEnd w:id="0"/>
            <w:r>
              <w:rPr>
                <w:rFonts w:ascii="Calibri" w:eastAsia="Times New Roman" w:hAnsi="Calibri" w:cs="Calibri"/>
                <w:b/>
                <w:bCs/>
                <w:color w:val="009999"/>
                <w:sz w:val="28"/>
                <w:szCs w:val="28"/>
                <w:lang w:eastAsia="en-IE"/>
              </w:rPr>
              <w:t xml:space="preserve">Strategic Pillar: </w:t>
            </w:r>
            <w:r w:rsidRPr="00DC5213">
              <w:rPr>
                <w:rFonts w:ascii="Calibri" w:eastAsia="Times New Roman" w:hAnsi="Calibri" w:cs="Calibri"/>
                <w:b/>
                <w:bCs/>
                <w:color w:val="009999"/>
                <w:sz w:val="28"/>
                <w:szCs w:val="28"/>
                <w:lang w:eastAsia="en-IE"/>
              </w:rPr>
              <w:t>Public Sector Duty Work</w:t>
            </w:r>
            <w:r>
              <w:rPr>
                <w:rFonts w:ascii="Calibri" w:eastAsia="Times New Roman" w:hAnsi="Calibri" w:cs="Calibri"/>
                <w:b/>
                <w:bCs/>
                <w:color w:val="009999"/>
                <w:sz w:val="28"/>
                <w:szCs w:val="28"/>
                <w:lang w:eastAsia="en-IE"/>
              </w:rPr>
              <w:t xml:space="preserve"> - </w:t>
            </w:r>
            <w:r w:rsidRPr="00DC5213">
              <w:rPr>
                <w:rFonts w:ascii="Calibri" w:eastAsia="Times New Roman" w:hAnsi="Calibri" w:cs="Calibri"/>
                <w:b/>
                <w:bCs/>
                <w:color w:val="009999"/>
                <w:sz w:val="28"/>
                <w:szCs w:val="28"/>
                <w:lang w:eastAsia="en-IE"/>
              </w:rPr>
              <w:t>EDI Equality Diversity and Inclusion</w:t>
            </w:r>
            <w:permStart w:id="275275535" w:edGrp="owners"/>
            <w:permEnd w:id="275275535"/>
          </w:p>
          <w:p w14:paraId="57760C9B" w14:textId="77777777" w:rsidR="00520595" w:rsidRPr="00766204" w:rsidRDefault="00520595" w:rsidP="00F35CB9">
            <w:pPr>
              <w:spacing w:after="0" w:line="240" w:lineRule="auto"/>
              <w:ind w:left="113"/>
              <w:textAlignment w:val="baseline"/>
              <w:rPr>
                <w:rFonts w:ascii="Segoe UI" w:eastAsia="Times New Roman" w:hAnsi="Segoe UI" w:cs="Segoe UI"/>
                <w:sz w:val="18"/>
                <w:szCs w:val="18"/>
                <w:lang w:eastAsia="en-IE"/>
              </w:rPr>
            </w:pPr>
          </w:p>
        </w:tc>
      </w:tr>
      <w:tr w:rsidR="00520595" w:rsidRPr="00766204" w14:paraId="2D49CE50" w14:textId="77777777" w:rsidTr="00F35CB9">
        <w:trPr>
          <w:trHeight w:val="450"/>
        </w:trPr>
        <w:tc>
          <w:tcPr>
            <w:tcW w:w="162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86F1674" w14:textId="77777777" w:rsidR="00520595" w:rsidRPr="00766204" w:rsidRDefault="00520595" w:rsidP="00F35CB9">
            <w:pPr>
              <w:spacing w:after="0" w:line="240" w:lineRule="auto"/>
              <w:ind w:left="113"/>
              <w:textAlignment w:val="baseline"/>
              <w:rPr>
                <w:rFonts w:ascii="Segoe UI" w:eastAsia="Times New Roman" w:hAnsi="Segoe UI" w:cs="Segoe UI"/>
                <w:sz w:val="18"/>
                <w:szCs w:val="18"/>
                <w:lang w:eastAsia="en-IE"/>
              </w:rPr>
            </w:pPr>
            <w:r w:rsidRPr="00766204">
              <w:rPr>
                <w:rFonts w:ascii="Calibri" w:eastAsia="Times New Roman" w:hAnsi="Calibri" w:cs="Calibri"/>
                <w:b/>
                <w:bCs/>
                <w:color w:val="009999"/>
                <w:sz w:val="28"/>
                <w:szCs w:val="28"/>
                <w:lang w:eastAsia="en-IE"/>
              </w:rPr>
              <w:t>Goal</w:t>
            </w:r>
          </w:p>
        </w:tc>
        <w:tc>
          <w:tcPr>
            <w:tcW w:w="151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8BD2539" w14:textId="77777777" w:rsidR="00520595" w:rsidRPr="00766204" w:rsidRDefault="00520595" w:rsidP="00F35CB9">
            <w:pPr>
              <w:spacing w:after="0" w:line="240" w:lineRule="auto"/>
              <w:ind w:left="113"/>
              <w:textAlignment w:val="baseline"/>
              <w:rPr>
                <w:rFonts w:ascii="Segoe UI" w:eastAsia="Times New Roman" w:hAnsi="Segoe UI" w:cs="Segoe UI"/>
                <w:sz w:val="18"/>
                <w:szCs w:val="18"/>
                <w:lang w:eastAsia="en-IE"/>
              </w:rPr>
            </w:pPr>
            <w:r w:rsidRPr="00766204">
              <w:rPr>
                <w:rFonts w:ascii="Calibri" w:eastAsia="Times New Roman" w:hAnsi="Calibri" w:cs="Calibri"/>
                <w:b/>
                <w:bCs/>
                <w:color w:val="009999"/>
                <w:sz w:val="28"/>
                <w:szCs w:val="28"/>
                <w:lang w:eastAsia="en-IE"/>
              </w:rPr>
              <w:t>Objective</w:t>
            </w:r>
          </w:p>
        </w:tc>
        <w:tc>
          <w:tcPr>
            <w:tcW w:w="185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B49E7AF" w14:textId="77777777" w:rsidR="00520595" w:rsidRPr="00766204" w:rsidRDefault="00520595" w:rsidP="00F35CB9">
            <w:pPr>
              <w:spacing w:after="0" w:line="240" w:lineRule="auto"/>
              <w:ind w:left="113"/>
              <w:textAlignment w:val="baseline"/>
              <w:rPr>
                <w:rFonts w:ascii="Segoe UI" w:eastAsia="Times New Roman" w:hAnsi="Segoe UI" w:cs="Segoe UI"/>
                <w:sz w:val="18"/>
                <w:szCs w:val="18"/>
                <w:lang w:eastAsia="en-IE"/>
              </w:rPr>
            </w:pPr>
            <w:r w:rsidRPr="00766204">
              <w:rPr>
                <w:rFonts w:ascii="Calibri" w:eastAsia="Times New Roman" w:hAnsi="Calibri" w:cs="Calibri"/>
                <w:b/>
                <w:bCs/>
                <w:color w:val="009999"/>
                <w:sz w:val="28"/>
                <w:szCs w:val="28"/>
                <w:lang w:eastAsia="en-IE"/>
              </w:rPr>
              <w:t>Key deliverable</w:t>
            </w:r>
          </w:p>
        </w:tc>
      </w:tr>
      <w:tr w:rsidR="00520595" w:rsidRPr="00766204" w14:paraId="7B0C4F46" w14:textId="77777777" w:rsidTr="00F35CB9">
        <w:trPr>
          <w:trHeight w:val="450"/>
        </w:trPr>
        <w:tc>
          <w:tcPr>
            <w:tcW w:w="1627" w:type="pct"/>
            <w:vMerge w:val="restart"/>
            <w:tcBorders>
              <w:top w:val="single" w:sz="6" w:space="0" w:color="auto"/>
              <w:left w:val="single" w:sz="6" w:space="0" w:color="auto"/>
              <w:right w:val="single" w:sz="6" w:space="0" w:color="auto"/>
            </w:tcBorders>
            <w:shd w:val="clear" w:color="auto" w:fill="auto"/>
          </w:tcPr>
          <w:p w14:paraId="037C8D36" w14:textId="77777777" w:rsidR="00520595" w:rsidRPr="00CF466D" w:rsidRDefault="00520595" w:rsidP="00F35CB9">
            <w:pPr>
              <w:spacing w:before="240" w:after="0" w:line="276" w:lineRule="auto"/>
              <w:ind w:left="113"/>
              <w:textAlignment w:val="baseline"/>
              <w:rPr>
                <w:rFonts w:ascii="Calibri" w:hAnsi="Calibri" w:cs="Calibri"/>
                <w:color w:val="000000"/>
              </w:rPr>
            </w:pPr>
            <w:r w:rsidRPr="39F848BB">
              <w:rPr>
                <w:rFonts w:ascii="Calibri" w:hAnsi="Calibri" w:cs="Calibri"/>
                <w:color w:val="000000" w:themeColor="text1"/>
              </w:rPr>
              <w:t>KWETB will develop a more systematic approach to adopting its Public Sector Duty across all the pillars of the organisation. This is in line with the recommendations of Irish Human Rights and Equality Commission (IHREC) for public bodies which aims to translate the duty to everyday practice.</w:t>
            </w:r>
          </w:p>
          <w:p w14:paraId="5C42024B" w14:textId="77777777" w:rsidR="00520595" w:rsidRPr="00766204" w:rsidRDefault="00520595" w:rsidP="00F35CB9">
            <w:pPr>
              <w:spacing w:before="240" w:after="0" w:line="276" w:lineRule="auto"/>
              <w:ind w:left="113"/>
              <w:textAlignment w:val="baseline"/>
              <w:rPr>
                <w:rFonts w:ascii="Segoe UI" w:eastAsia="Times New Roman" w:hAnsi="Segoe UI" w:cs="Segoe UI"/>
                <w:sz w:val="18"/>
                <w:szCs w:val="18"/>
                <w:lang w:eastAsia="en-IE"/>
              </w:rPr>
            </w:pPr>
            <w:r w:rsidRPr="00CF466D">
              <w:rPr>
                <w:rFonts w:ascii="Calibri" w:hAnsi="Calibri" w:cs="Calibri"/>
                <w:color w:val="000000"/>
              </w:rPr>
              <w:t>In line the Equality and Human Rights Act</w:t>
            </w:r>
            <w:r>
              <w:rPr>
                <w:rFonts w:ascii="Calibri" w:hAnsi="Calibri" w:cs="Calibri"/>
                <w:color w:val="000000"/>
              </w:rPr>
              <w:t xml:space="preserve"> (2014)</w:t>
            </w:r>
            <w:r w:rsidRPr="00CF466D">
              <w:rPr>
                <w:rFonts w:ascii="Calibri" w:hAnsi="Calibri" w:cs="Calibri"/>
                <w:color w:val="000000"/>
              </w:rPr>
              <w:t xml:space="preserve">, KWETB </w:t>
            </w:r>
            <w:r>
              <w:rPr>
                <w:rFonts w:ascii="Calibri" w:hAnsi="Calibri" w:cs="Calibri"/>
                <w:color w:val="000000"/>
              </w:rPr>
              <w:t xml:space="preserve">will put in place an implementation plan to </w:t>
            </w:r>
            <w:r w:rsidRPr="00CF466D">
              <w:rPr>
                <w:rFonts w:ascii="Calibri" w:hAnsi="Calibri" w:cs="Calibri"/>
                <w:color w:val="000000"/>
              </w:rPr>
              <w:t>addres</w:t>
            </w:r>
            <w:r>
              <w:rPr>
                <w:rFonts w:ascii="Calibri" w:hAnsi="Calibri" w:cs="Calibri"/>
                <w:color w:val="000000"/>
              </w:rPr>
              <w:t>s</w:t>
            </w:r>
            <w:r w:rsidRPr="00CF466D">
              <w:rPr>
                <w:rFonts w:ascii="Calibri" w:hAnsi="Calibri" w:cs="Calibri"/>
                <w:color w:val="000000"/>
              </w:rPr>
              <w:t xml:space="preserve"> the requirements of the duty as set out in Section 42(2)</w:t>
            </w:r>
            <w:r>
              <w:rPr>
                <w:rFonts w:ascii="Calibri" w:hAnsi="Calibri" w:cs="Calibri"/>
                <w:color w:val="000000"/>
              </w:rPr>
              <w:t xml:space="preserve"> of the 2014 Act.</w:t>
            </w:r>
            <w:r w:rsidRPr="00766204">
              <w:rPr>
                <w:rFonts w:ascii="Segoe UI" w:eastAsia="Times New Roman" w:hAnsi="Segoe UI" w:cs="Segoe UI"/>
                <w:sz w:val="18"/>
                <w:szCs w:val="18"/>
                <w:lang w:eastAsia="en-IE"/>
              </w:rPr>
              <w:t xml:space="preserve"> </w:t>
            </w:r>
          </w:p>
        </w:tc>
        <w:tc>
          <w:tcPr>
            <w:tcW w:w="1518" w:type="pct"/>
            <w:tcBorders>
              <w:top w:val="single" w:sz="6" w:space="0" w:color="auto"/>
              <w:left w:val="single" w:sz="6" w:space="0" w:color="auto"/>
              <w:bottom w:val="single" w:sz="6" w:space="0" w:color="auto"/>
              <w:right w:val="single" w:sz="6" w:space="0" w:color="auto"/>
            </w:tcBorders>
            <w:shd w:val="clear" w:color="auto" w:fill="auto"/>
          </w:tcPr>
          <w:p w14:paraId="6B5EE17E" w14:textId="77777777" w:rsidR="00520595" w:rsidRPr="00E16CEE" w:rsidRDefault="00520595" w:rsidP="00F35CB9">
            <w:pPr>
              <w:spacing w:before="240" w:line="276" w:lineRule="auto"/>
              <w:ind w:left="113"/>
              <w:rPr>
                <w:rFonts w:ascii="Calibri" w:hAnsi="Calibri" w:cs="Calibri"/>
                <w:color w:val="000000"/>
              </w:rPr>
            </w:pPr>
            <w:r w:rsidRPr="00E16CEE">
              <w:rPr>
                <w:rFonts w:ascii="Calibri" w:hAnsi="Calibri" w:cs="Calibri"/>
                <w:color w:val="000000"/>
              </w:rPr>
              <w:t>Bring education and awareness to the organisation</w:t>
            </w:r>
            <w:r>
              <w:rPr>
                <w:rFonts w:ascii="Calibri" w:hAnsi="Calibri" w:cs="Calibri"/>
                <w:color w:val="000000"/>
              </w:rPr>
              <w:t>’s</w:t>
            </w:r>
            <w:r w:rsidRPr="00E16CEE">
              <w:rPr>
                <w:rFonts w:ascii="Calibri" w:hAnsi="Calibri" w:cs="Calibri"/>
                <w:color w:val="000000"/>
              </w:rPr>
              <w:t xml:space="preserve"> employees on our public sector duties.</w:t>
            </w:r>
          </w:p>
        </w:tc>
        <w:tc>
          <w:tcPr>
            <w:tcW w:w="1855" w:type="pct"/>
            <w:tcBorders>
              <w:top w:val="single" w:sz="6" w:space="0" w:color="auto"/>
              <w:left w:val="single" w:sz="6" w:space="0" w:color="auto"/>
              <w:bottom w:val="single" w:sz="6" w:space="0" w:color="auto"/>
              <w:right w:val="single" w:sz="6" w:space="0" w:color="auto"/>
            </w:tcBorders>
            <w:shd w:val="clear" w:color="auto" w:fill="auto"/>
          </w:tcPr>
          <w:p w14:paraId="31FD8E58" w14:textId="77777777" w:rsidR="00520595" w:rsidRPr="00E16CEE" w:rsidRDefault="00520595" w:rsidP="00F35CB9">
            <w:pPr>
              <w:spacing w:before="240" w:after="0" w:line="276" w:lineRule="auto"/>
              <w:ind w:left="113"/>
              <w:textAlignment w:val="baseline"/>
              <w:rPr>
                <w:rFonts w:ascii="Calibri" w:hAnsi="Calibri" w:cs="Calibri"/>
                <w:color w:val="000000"/>
              </w:rPr>
            </w:pPr>
            <w:r w:rsidRPr="00E16CEE">
              <w:rPr>
                <w:rFonts w:ascii="Calibri" w:hAnsi="Calibri" w:cs="Calibri"/>
                <w:color w:val="000000"/>
              </w:rPr>
              <w:t>Introduce</w:t>
            </w:r>
            <w:r>
              <w:rPr>
                <w:rFonts w:ascii="Calibri" w:hAnsi="Calibri" w:cs="Calibri"/>
                <w:color w:val="000000"/>
              </w:rPr>
              <w:t xml:space="preserve"> those in</w:t>
            </w:r>
            <w:r w:rsidRPr="00E16CEE">
              <w:rPr>
                <w:rFonts w:ascii="Calibri" w:hAnsi="Calibri" w:cs="Calibri"/>
                <w:color w:val="000000"/>
              </w:rPr>
              <w:t xml:space="preserve"> management and leadership roles in KWETB to the public sector duty and KWETB requirements under same. </w:t>
            </w:r>
          </w:p>
          <w:p w14:paraId="674A8B46" w14:textId="77777777" w:rsidR="00520595" w:rsidRPr="00E16CEE" w:rsidRDefault="00520595" w:rsidP="00F35CB9">
            <w:pPr>
              <w:spacing w:before="240" w:after="0" w:line="276" w:lineRule="auto"/>
              <w:ind w:left="113"/>
              <w:textAlignment w:val="baseline"/>
              <w:rPr>
                <w:rFonts w:ascii="Calibri" w:hAnsi="Calibri" w:cs="Calibri"/>
                <w:color w:val="000000"/>
              </w:rPr>
            </w:pPr>
            <w:r w:rsidRPr="39F848BB">
              <w:rPr>
                <w:rFonts w:ascii="Calibri" w:hAnsi="Calibri" w:cs="Calibri"/>
                <w:color w:val="000000" w:themeColor="text1"/>
              </w:rPr>
              <w:t xml:space="preserve">A senior staff member completing a professional diploma in Human Rights and Equality IPA per year. </w:t>
            </w:r>
          </w:p>
          <w:p w14:paraId="31CDFD4F" w14:textId="77777777" w:rsidR="00520595" w:rsidRPr="00E16CEE" w:rsidRDefault="00520595" w:rsidP="00F35CB9">
            <w:pPr>
              <w:spacing w:before="240" w:after="0" w:line="276" w:lineRule="auto"/>
              <w:ind w:left="113"/>
              <w:textAlignment w:val="baseline"/>
              <w:rPr>
                <w:rFonts w:ascii="Calibri" w:hAnsi="Calibri" w:cs="Calibri"/>
                <w:color w:val="000000"/>
              </w:rPr>
            </w:pPr>
            <w:r w:rsidRPr="00E16CEE">
              <w:rPr>
                <w:rFonts w:ascii="Calibri" w:hAnsi="Calibri" w:cs="Calibri"/>
                <w:color w:val="000000"/>
              </w:rPr>
              <w:t xml:space="preserve">Encourage training of staff using the </w:t>
            </w:r>
            <w:r>
              <w:rPr>
                <w:rFonts w:ascii="Calibri" w:hAnsi="Calibri" w:cs="Calibri"/>
                <w:color w:val="000000"/>
              </w:rPr>
              <w:t xml:space="preserve">Irish </w:t>
            </w:r>
            <w:r w:rsidRPr="00E16CEE">
              <w:rPr>
                <w:rFonts w:ascii="Calibri" w:hAnsi="Calibri" w:cs="Calibri"/>
                <w:color w:val="000000"/>
              </w:rPr>
              <w:t>Human Rights and Equality Commission (IHREC) training module</w:t>
            </w:r>
            <w:r>
              <w:rPr>
                <w:rFonts w:ascii="Calibri" w:hAnsi="Calibri" w:cs="Calibri"/>
                <w:color w:val="000000"/>
              </w:rPr>
              <w:t xml:space="preserve"> and record training completion.</w:t>
            </w:r>
          </w:p>
          <w:p w14:paraId="467B835C" w14:textId="77777777" w:rsidR="00520595" w:rsidRDefault="00520595" w:rsidP="00F35CB9">
            <w:pPr>
              <w:spacing w:before="240" w:after="0" w:line="276" w:lineRule="auto"/>
              <w:ind w:left="113"/>
              <w:textAlignment w:val="baseline"/>
              <w:rPr>
                <w:rFonts w:ascii="Calibri" w:hAnsi="Calibri" w:cs="Calibri"/>
                <w:color w:val="000000"/>
              </w:rPr>
            </w:pPr>
            <w:r w:rsidRPr="00E16CEE">
              <w:rPr>
                <w:rFonts w:ascii="Calibri" w:hAnsi="Calibri" w:cs="Calibri"/>
                <w:color w:val="000000"/>
              </w:rPr>
              <w:t>An Equality Diversity and Inclusion (EDI) working group established.</w:t>
            </w:r>
          </w:p>
          <w:p w14:paraId="0B6B3B17" w14:textId="77777777" w:rsidR="00520595" w:rsidRPr="00E16CEE" w:rsidRDefault="00520595" w:rsidP="00F35CB9">
            <w:pPr>
              <w:spacing w:before="240" w:after="0" w:line="276" w:lineRule="auto"/>
              <w:ind w:left="113"/>
              <w:textAlignment w:val="baseline"/>
              <w:rPr>
                <w:rFonts w:ascii="Calibri" w:hAnsi="Calibri" w:cs="Calibri"/>
                <w:color w:val="000000"/>
              </w:rPr>
            </w:pPr>
            <w:r>
              <w:rPr>
                <w:rFonts w:ascii="Calibri" w:hAnsi="Calibri" w:cs="Calibri"/>
                <w:color w:val="000000"/>
              </w:rPr>
              <w:t>Increase the visibility of equality and human rights values through our communication channels and promotional materials.</w:t>
            </w:r>
          </w:p>
          <w:p w14:paraId="2BC68C97" w14:textId="77777777" w:rsidR="00520595" w:rsidRPr="00E16CEE" w:rsidRDefault="00520595" w:rsidP="00F35CB9">
            <w:pPr>
              <w:spacing w:before="240" w:after="0" w:line="276" w:lineRule="auto"/>
              <w:ind w:left="113"/>
              <w:textAlignment w:val="baseline"/>
              <w:rPr>
                <w:rFonts w:ascii="Calibri" w:hAnsi="Calibri" w:cs="Calibri"/>
                <w:color w:val="000000"/>
              </w:rPr>
            </w:pPr>
          </w:p>
        </w:tc>
      </w:tr>
      <w:tr w:rsidR="00520595" w:rsidRPr="00766204" w14:paraId="068CA7B6" w14:textId="77777777" w:rsidTr="00F35CB9">
        <w:trPr>
          <w:trHeight w:val="450"/>
        </w:trPr>
        <w:tc>
          <w:tcPr>
            <w:tcW w:w="1627" w:type="pct"/>
            <w:vMerge/>
            <w:vAlign w:val="center"/>
          </w:tcPr>
          <w:p w14:paraId="224A2924" w14:textId="77777777" w:rsidR="00520595" w:rsidRPr="00766204" w:rsidRDefault="00520595" w:rsidP="00F35CB9">
            <w:pPr>
              <w:spacing w:before="240" w:after="0" w:line="276" w:lineRule="auto"/>
              <w:ind w:left="113"/>
              <w:rPr>
                <w:rFonts w:ascii="Segoe UI" w:eastAsia="Times New Roman" w:hAnsi="Segoe UI" w:cs="Segoe UI"/>
                <w:sz w:val="18"/>
                <w:szCs w:val="18"/>
                <w:lang w:eastAsia="en-IE"/>
              </w:rPr>
            </w:pPr>
          </w:p>
        </w:tc>
        <w:tc>
          <w:tcPr>
            <w:tcW w:w="1518" w:type="pct"/>
            <w:tcBorders>
              <w:top w:val="single" w:sz="6" w:space="0" w:color="auto"/>
              <w:left w:val="single" w:sz="6" w:space="0" w:color="auto"/>
              <w:bottom w:val="single" w:sz="6" w:space="0" w:color="auto"/>
              <w:right w:val="single" w:sz="6" w:space="0" w:color="auto"/>
            </w:tcBorders>
            <w:shd w:val="clear" w:color="auto" w:fill="auto"/>
          </w:tcPr>
          <w:p w14:paraId="12191589" w14:textId="77777777" w:rsidR="00520595" w:rsidRPr="00766204" w:rsidRDefault="00520595" w:rsidP="00F35CB9">
            <w:pPr>
              <w:spacing w:before="240" w:line="276" w:lineRule="auto"/>
              <w:ind w:left="113"/>
              <w:rPr>
                <w:rFonts w:ascii="Calibri" w:hAnsi="Calibri" w:cs="Calibri"/>
                <w:color w:val="000000"/>
              </w:rPr>
            </w:pPr>
            <w:r>
              <w:rPr>
                <w:rFonts w:ascii="Calibri" w:hAnsi="Calibri" w:cs="Calibri"/>
                <w:color w:val="000000"/>
              </w:rPr>
              <w:t xml:space="preserve">Review key ‘person specific/people centred’ organisation policies to integrate the </w:t>
            </w:r>
            <w:r w:rsidRPr="00E16CEE">
              <w:rPr>
                <w:rFonts w:ascii="Calibri" w:hAnsi="Calibri" w:cs="Calibri"/>
                <w:color w:val="000000"/>
              </w:rPr>
              <w:t>public sector duty</w:t>
            </w:r>
            <w:r>
              <w:rPr>
                <w:rFonts w:ascii="Calibri" w:hAnsi="Calibri" w:cs="Calibri"/>
                <w:color w:val="000000"/>
              </w:rPr>
              <w:t xml:space="preserve"> principles.</w:t>
            </w:r>
          </w:p>
        </w:tc>
        <w:tc>
          <w:tcPr>
            <w:tcW w:w="1855" w:type="pct"/>
            <w:tcBorders>
              <w:top w:val="single" w:sz="6" w:space="0" w:color="auto"/>
              <w:left w:val="single" w:sz="6" w:space="0" w:color="auto"/>
              <w:bottom w:val="single" w:sz="6" w:space="0" w:color="auto"/>
              <w:right w:val="single" w:sz="6" w:space="0" w:color="auto"/>
            </w:tcBorders>
            <w:shd w:val="clear" w:color="auto" w:fill="auto"/>
          </w:tcPr>
          <w:p w14:paraId="675BD8DF" w14:textId="77777777" w:rsidR="00520595" w:rsidRDefault="00520595" w:rsidP="00F35CB9">
            <w:pPr>
              <w:spacing w:before="240" w:after="0" w:line="276" w:lineRule="auto"/>
              <w:ind w:left="113"/>
              <w:rPr>
                <w:rFonts w:ascii="Calibri" w:hAnsi="Calibri" w:cs="Calibri"/>
                <w:color w:val="000000"/>
              </w:rPr>
            </w:pPr>
            <w:r>
              <w:rPr>
                <w:rFonts w:ascii="Calibri" w:hAnsi="Calibri" w:cs="Calibri"/>
                <w:color w:val="000000"/>
              </w:rPr>
              <w:t>P</w:t>
            </w:r>
            <w:r w:rsidRPr="00E16CEE">
              <w:rPr>
                <w:rFonts w:ascii="Calibri" w:hAnsi="Calibri" w:cs="Calibri"/>
                <w:color w:val="000000"/>
              </w:rPr>
              <w:t>ublic sector duty</w:t>
            </w:r>
            <w:r>
              <w:rPr>
                <w:rFonts w:ascii="Calibri" w:hAnsi="Calibri" w:cs="Calibri"/>
                <w:color w:val="000000"/>
              </w:rPr>
              <w:t xml:space="preserve"> included as a consideration to policy creation and review under the KWETB Policy Management Framework (PMF).</w:t>
            </w:r>
          </w:p>
          <w:p w14:paraId="499BD461" w14:textId="77777777" w:rsidR="00520595" w:rsidRDefault="00520595" w:rsidP="00F35CB9">
            <w:pPr>
              <w:spacing w:before="240" w:after="0" w:line="276" w:lineRule="auto"/>
              <w:ind w:left="113"/>
              <w:rPr>
                <w:rFonts w:ascii="Calibri" w:hAnsi="Calibri" w:cs="Calibri"/>
                <w:color w:val="000000"/>
              </w:rPr>
            </w:pPr>
          </w:p>
          <w:p w14:paraId="7A2F6041" w14:textId="77777777" w:rsidR="00520595" w:rsidRPr="00766204" w:rsidRDefault="00520595" w:rsidP="00F35CB9">
            <w:pPr>
              <w:spacing w:before="240" w:line="276" w:lineRule="auto"/>
              <w:ind w:left="113"/>
              <w:rPr>
                <w:rFonts w:ascii="Calibri" w:hAnsi="Calibri" w:cs="Calibri"/>
                <w:color w:val="000000"/>
              </w:rPr>
            </w:pPr>
            <w:r>
              <w:rPr>
                <w:rFonts w:ascii="Calibri" w:hAnsi="Calibri" w:cs="Calibri"/>
                <w:color w:val="000000"/>
              </w:rPr>
              <w:lastRenderedPageBreak/>
              <w:t xml:space="preserve">Relevant policies will be reviewed and approved with integration of the public sector duty requirements by Summer 2024. </w:t>
            </w:r>
          </w:p>
        </w:tc>
      </w:tr>
      <w:tr w:rsidR="00520595" w:rsidRPr="00766204" w14:paraId="46BD02D7" w14:textId="77777777" w:rsidTr="00F35CB9">
        <w:trPr>
          <w:trHeight w:val="450"/>
        </w:trPr>
        <w:tc>
          <w:tcPr>
            <w:tcW w:w="1627" w:type="pct"/>
            <w:vMerge/>
            <w:vAlign w:val="center"/>
          </w:tcPr>
          <w:p w14:paraId="5D0A9B9A" w14:textId="77777777" w:rsidR="00520595" w:rsidRPr="00766204" w:rsidRDefault="00520595" w:rsidP="00F35CB9">
            <w:pPr>
              <w:spacing w:before="240" w:after="0" w:line="276" w:lineRule="auto"/>
              <w:ind w:left="113"/>
              <w:rPr>
                <w:rFonts w:ascii="Segoe UI" w:eastAsia="Times New Roman" w:hAnsi="Segoe UI" w:cs="Segoe UI"/>
                <w:sz w:val="18"/>
                <w:szCs w:val="18"/>
                <w:lang w:eastAsia="en-IE"/>
              </w:rPr>
            </w:pPr>
          </w:p>
        </w:tc>
        <w:tc>
          <w:tcPr>
            <w:tcW w:w="1518" w:type="pct"/>
            <w:tcBorders>
              <w:top w:val="single" w:sz="6" w:space="0" w:color="auto"/>
              <w:left w:val="single" w:sz="6" w:space="0" w:color="auto"/>
              <w:bottom w:val="single" w:sz="6" w:space="0" w:color="auto"/>
              <w:right w:val="single" w:sz="6" w:space="0" w:color="auto"/>
            </w:tcBorders>
            <w:shd w:val="clear" w:color="auto" w:fill="auto"/>
          </w:tcPr>
          <w:p w14:paraId="7B003C68" w14:textId="77777777" w:rsidR="00520595" w:rsidRDefault="00520595" w:rsidP="00F35CB9">
            <w:pPr>
              <w:spacing w:before="240" w:line="276" w:lineRule="auto"/>
              <w:ind w:left="113"/>
              <w:rPr>
                <w:rFonts w:ascii="Calibri" w:hAnsi="Calibri" w:cs="Calibri"/>
                <w:color w:val="000000"/>
              </w:rPr>
            </w:pPr>
            <w:r>
              <w:rPr>
                <w:rFonts w:ascii="Calibri" w:hAnsi="Calibri" w:cs="Calibri"/>
                <w:color w:val="000000"/>
              </w:rPr>
              <w:t xml:space="preserve">Identify an action annually to address </w:t>
            </w:r>
            <w:r w:rsidRPr="007579A2">
              <w:rPr>
                <w:rFonts w:ascii="Calibri" w:hAnsi="Calibri" w:cs="Calibri"/>
                <w:color w:val="000000"/>
                <w:lang w:val="en-US"/>
              </w:rPr>
              <w:t xml:space="preserve">the equality and human rights issues identified and to put in place </w:t>
            </w:r>
            <w:proofErr w:type="spellStart"/>
            <w:r w:rsidRPr="007579A2">
              <w:rPr>
                <w:rFonts w:ascii="Calibri" w:hAnsi="Calibri" w:cs="Calibri"/>
                <w:bCs/>
                <w:color w:val="000000"/>
                <w:lang w:val="en-US"/>
              </w:rPr>
              <w:t>organisational</w:t>
            </w:r>
            <w:proofErr w:type="spellEnd"/>
            <w:r w:rsidRPr="007579A2">
              <w:rPr>
                <w:rFonts w:ascii="Calibri" w:hAnsi="Calibri" w:cs="Calibri"/>
                <w:bCs/>
                <w:color w:val="000000"/>
                <w:lang w:val="en-US"/>
              </w:rPr>
              <w:t xml:space="preserve"> processes</w:t>
            </w:r>
            <w:r w:rsidRPr="007579A2">
              <w:rPr>
                <w:rFonts w:ascii="Calibri" w:hAnsi="Calibri" w:cs="Calibri"/>
                <w:b/>
                <w:bCs/>
                <w:color w:val="000000"/>
                <w:lang w:val="en-US"/>
              </w:rPr>
              <w:t xml:space="preserve"> </w:t>
            </w:r>
            <w:r w:rsidRPr="007579A2">
              <w:rPr>
                <w:rFonts w:ascii="Calibri" w:hAnsi="Calibri" w:cs="Calibri"/>
                <w:color w:val="000000"/>
                <w:lang w:val="en-US"/>
              </w:rPr>
              <w:t>to strengthen implementation of equality and human rights actions.</w:t>
            </w:r>
          </w:p>
        </w:tc>
        <w:tc>
          <w:tcPr>
            <w:tcW w:w="1855" w:type="pct"/>
            <w:tcBorders>
              <w:top w:val="single" w:sz="6" w:space="0" w:color="auto"/>
              <w:left w:val="single" w:sz="6" w:space="0" w:color="auto"/>
              <w:bottom w:val="single" w:sz="6" w:space="0" w:color="auto"/>
              <w:right w:val="single" w:sz="6" w:space="0" w:color="auto"/>
            </w:tcBorders>
            <w:shd w:val="clear" w:color="auto" w:fill="auto"/>
          </w:tcPr>
          <w:p w14:paraId="531A5D56" w14:textId="77777777" w:rsidR="00520595" w:rsidRDefault="00520595" w:rsidP="00F35CB9">
            <w:pPr>
              <w:spacing w:before="240" w:after="0" w:line="276" w:lineRule="auto"/>
              <w:ind w:left="113"/>
              <w:rPr>
                <w:rFonts w:ascii="Calibri" w:hAnsi="Calibri" w:cs="Calibri"/>
                <w:color w:val="000000"/>
              </w:rPr>
            </w:pPr>
            <w:r>
              <w:rPr>
                <w:rFonts w:ascii="Calibri" w:hAnsi="Calibri" w:cs="Calibri"/>
                <w:color w:val="000000"/>
              </w:rPr>
              <w:t xml:space="preserve">The </w:t>
            </w:r>
            <w:r w:rsidRPr="00DA2BE5">
              <w:rPr>
                <w:rFonts w:ascii="Calibri" w:hAnsi="Calibri" w:cs="Calibri"/>
                <w:color w:val="000000"/>
              </w:rPr>
              <w:t xml:space="preserve">Key Project 2023/24 </w:t>
            </w:r>
            <w:r>
              <w:rPr>
                <w:rFonts w:ascii="Calibri" w:hAnsi="Calibri" w:cs="Calibri"/>
                <w:color w:val="000000"/>
              </w:rPr>
              <w:t xml:space="preserve">is to improve our web accessibility on our KWETB website. </w:t>
            </w:r>
          </w:p>
          <w:p w14:paraId="357B9A50" w14:textId="77777777" w:rsidR="00520595" w:rsidRDefault="00520595" w:rsidP="00F35CB9">
            <w:pPr>
              <w:spacing w:before="240" w:after="0" w:line="276" w:lineRule="auto"/>
              <w:ind w:left="113"/>
              <w:rPr>
                <w:rFonts w:ascii="Calibri" w:hAnsi="Calibri" w:cs="Calibri"/>
                <w:color w:val="000000"/>
              </w:rPr>
            </w:pPr>
          </w:p>
          <w:p w14:paraId="61DBC262" w14:textId="77777777" w:rsidR="00520595" w:rsidRDefault="00520595" w:rsidP="00F35CB9">
            <w:pPr>
              <w:spacing w:before="240" w:after="0" w:line="276" w:lineRule="auto"/>
              <w:ind w:left="113"/>
              <w:rPr>
                <w:rFonts w:ascii="Calibri" w:hAnsi="Calibri" w:cs="Calibri"/>
                <w:color w:val="000000"/>
              </w:rPr>
            </w:pPr>
            <w:r>
              <w:rPr>
                <w:rFonts w:ascii="Calibri" w:hAnsi="Calibri" w:cs="Calibri"/>
                <w:color w:val="000000"/>
              </w:rPr>
              <w:t xml:space="preserve">Make web and document accessibility awareness and resources available via the Intranet. </w:t>
            </w:r>
          </w:p>
        </w:tc>
      </w:tr>
      <w:tr w:rsidR="00520595" w:rsidRPr="00766204" w14:paraId="6D7B095D" w14:textId="77777777" w:rsidTr="00F35CB9">
        <w:trPr>
          <w:trHeight w:val="450"/>
        </w:trPr>
        <w:tc>
          <w:tcPr>
            <w:tcW w:w="1627" w:type="pct"/>
            <w:tcBorders>
              <w:left w:val="single" w:sz="6" w:space="0" w:color="auto"/>
              <w:bottom w:val="single" w:sz="6" w:space="0" w:color="auto"/>
              <w:right w:val="single" w:sz="6" w:space="0" w:color="auto"/>
            </w:tcBorders>
            <w:shd w:val="clear" w:color="auto" w:fill="auto"/>
            <w:vAlign w:val="center"/>
          </w:tcPr>
          <w:p w14:paraId="5C22D8C1" w14:textId="77777777" w:rsidR="00520595" w:rsidRPr="00766204" w:rsidRDefault="00520595" w:rsidP="00F35CB9">
            <w:pPr>
              <w:spacing w:before="240" w:after="0" w:line="276" w:lineRule="auto"/>
              <w:ind w:left="113"/>
              <w:rPr>
                <w:rFonts w:ascii="Segoe UI" w:eastAsia="Times New Roman" w:hAnsi="Segoe UI" w:cs="Segoe UI"/>
                <w:sz w:val="18"/>
                <w:szCs w:val="18"/>
                <w:lang w:eastAsia="en-IE"/>
              </w:rPr>
            </w:pPr>
          </w:p>
        </w:tc>
        <w:tc>
          <w:tcPr>
            <w:tcW w:w="1518" w:type="pct"/>
            <w:tcBorders>
              <w:top w:val="single" w:sz="6" w:space="0" w:color="auto"/>
              <w:left w:val="single" w:sz="6" w:space="0" w:color="auto"/>
              <w:bottom w:val="single" w:sz="6" w:space="0" w:color="auto"/>
              <w:right w:val="single" w:sz="6" w:space="0" w:color="auto"/>
            </w:tcBorders>
            <w:shd w:val="clear" w:color="auto" w:fill="auto"/>
          </w:tcPr>
          <w:p w14:paraId="3FE25E79" w14:textId="77777777" w:rsidR="00520595" w:rsidRDefault="00520595" w:rsidP="00F35CB9">
            <w:pPr>
              <w:spacing w:before="240" w:line="276" w:lineRule="auto"/>
              <w:ind w:left="113"/>
              <w:rPr>
                <w:rFonts w:ascii="Calibri" w:hAnsi="Calibri" w:cs="Calibri"/>
                <w:color w:val="000000"/>
              </w:rPr>
            </w:pPr>
            <w:r>
              <w:rPr>
                <w:rFonts w:ascii="Calibri" w:hAnsi="Calibri" w:cs="Calibri"/>
                <w:color w:val="000000"/>
              </w:rPr>
              <w:t xml:space="preserve">Integration in the future Strategy Statement </w:t>
            </w:r>
          </w:p>
        </w:tc>
        <w:tc>
          <w:tcPr>
            <w:tcW w:w="1855" w:type="pct"/>
            <w:tcBorders>
              <w:top w:val="single" w:sz="6" w:space="0" w:color="auto"/>
              <w:left w:val="single" w:sz="6" w:space="0" w:color="auto"/>
              <w:bottom w:val="single" w:sz="6" w:space="0" w:color="auto"/>
              <w:right w:val="single" w:sz="6" w:space="0" w:color="auto"/>
            </w:tcBorders>
            <w:shd w:val="clear" w:color="auto" w:fill="auto"/>
          </w:tcPr>
          <w:p w14:paraId="6A4F132F" w14:textId="77777777" w:rsidR="00520595" w:rsidRPr="00A77914" w:rsidRDefault="00520595" w:rsidP="00F35CB9">
            <w:pPr>
              <w:spacing w:before="240" w:line="276" w:lineRule="auto"/>
              <w:ind w:left="113"/>
              <w:rPr>
                <w:lang w:val="en-US"/>
              </w:rPr>
            </w:pPr>
            <w:r>
              <w:rPr>
                <w:lang w:val="en-US"/>
              </w:rPr>
              <w:t>Public Sector Values consultation during the preparation of the 2024- 2028 Strategy Statement</w:t>
            </w:r>
          </w:p>
          <w:p w14:paraId="769FD9FF" w14:textId="77777777" w:rsidR="00520595" w:rsidRDefault="00520595" w:rsidP="00F35CB9">
            <w:pPr>
              <w:spacing w:before="240" w:after="0" w:line="276" w:lineRule="auto"/>
              <w:ind w:left="113"/>
              <w:rPr>
                <w:rFonts w:ascii="Calibri" w:hAnsi="Calibri" w:cs="Calibri"/>
                <w:color w:val="000000"/>
              </w:rPr>
            </w:pPr>
          </w:p>
        </w:tc>
      </w:tr>
    </w:tbl>
    <w:p w14:paraId="24232D32" w14:textId="77777777" w:rsidR="0063115F" w:rsidRDefault="0063115F"/>
    <w:sectPr w:rsidR="0063115F" w:rsidSect="005205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1zvCa6WJjeDbtbOflHBkPrKFMy1244Y78k4/dQIP2M88g80lhCb1eH7YmUlKk33yugjj2t++TIFAP6WbTb3o3w==" w:salt="7gc6GAb/me+DZpry+OA+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95"/>
    <w:rsid w:val="00083B2F"/>
    <w:rsid w:val="001159E6"/>
    <w:rsid w:val="00520595"/>
    <w:rsid w:val="00611075"/>
    <w:rsid w:val="0063115F"/>
    <w:rsid w:val="007D2512"/>
    <w:rsid w:val="00931A3C"/>
    <w:rsid w:val="00A043CA"/>
    <w:rsid w:val="00BA3E55"/>
    <w:rsid w:val="00CF0BBC"/>
    <w:rsid w:val="00E4187C"/>
    <w:rsid w:val="00E96C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9847"/>
  <w15:chartTrackingRefBased/>
  <w15:docId w15:val="{2FB07DD1-68D5-4561-968D-22297F5B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color w:val="4472C4" w:themeColor="accent1"/>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595"/>
    <w:rPr>
      <w:rFonts w:asciiTheme="minorHAnsi" w:hAnsiTheme="minorHAnsi"/>
      <w:color w:val="auto"/>
    </w:rPr>
  </w:style>
  <w:style w:type="paragraph" w:styleId="Heading1">
    <w:name w:val="heading 1"/>
    <w:basedOn w:val="Normal"/>
    <w:next w:val="Normal"/>
    <w:link w:val="Heading1Char"/>
    <w:autoRedefine/>
    <w:uiPriority w:val="9"/>
    <w:qFormat/>
    <w:rsid w:val="00CF0BBC"/>
    <w:pPr>
      <w:keepNext/>
      <w:keepLines/>
      <w:spacing w:before="240" w:after="0"/>
      <w:outlineLvl w:val="0"/>
    </w:pPr>
    <w:rPr>
      <w:rFonts w:ascii="Helvetica" w:eastAsiaTheme="majorEastAsia" w:hAnsi="Helvetica" w:cstheme="majorBidi"/>
      <w:color w:val="008080"/>
      <w:sz w:val="32"/>
      <w:szCs w:val="32"/>
    </w:rPr>
  </w:style>
  <w:style w:type="paragraph" w:styleId="Heading2">
    <w:name w:val="heading 2"/>
    <w:basedOn w:val="Normal"/>
    <w:next w:val="Normal"/>
    <w:link w:val="Heading2Char"/>
    <w:uiPriority w:val="9"/>
    <w:unhideWhenUsed/>
    <w:qFormat/>
    <w:rsid w:val="00083B2F"/>
    <w:pPr>
      <w:keepNext/>
      <w:keepLines/>
      <w:spacing w:before="40" w:after="0"/>
      <w:outlineLvl w:val="1"/>
    </w:pPr>
    <w:rPr>
      <w:rFonts w:ascii="Calibri" w:eastAsiaTheme="majorEastAsia" w:hAnsi="Calibri" w:cstheme="majorBidi"/>
      <w:b/>
      <w:color w:val="006666"/>
      <w:sz w:val="26"/>
      <w:szCs w:val="26"/>
    </w:rPr>
  </w:style>
  <w:style w:type="paragraph" w:styleId="Heading3">
    <w:name w:val="heading 3"/>
    <w:basedOn w:val="Normal"/>
    <w:next w:val="Normal"/>
    <w:link w:val="Heading3Char"/>
    <w:uiPriority w:val="9"/>
    <w:unhideWhenUsed/>
    <w:qFormat/>
    <w:rsid w:val="00083B2F"/>
    <w:pPr>
      <w:keepNext/>
      <w:keepLines/>
      <w:spacing w:before="40" w:after="0"/>
      <w:outlineLvl w:val="2"/>
    </w:pPr>
    <w:rPr>
      <w:rFonts w:asciiTheme="majorHAnsi" w:eastAsiaTheme="majorEastAsia" w:hAnsiTheme="majorHAnsi" w:cstheme="majorBidi"/>
      <w:b/>
      <w:color w:val="00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BBC"/>
    <w:rPr>
      <w:rFonts w:eastAsiaTheme="majorEastAsia" w:cstheme="majorBidi"/>
      <w:color w:val="008080"/>
      <w:sz w:val="32"/>
      <w:szCs w:val="32"/>
    </w:rPr>
  </w:style>
  <w:style w:type="character" w:styleId="Hyperlink">
    <w:name w:val="Hyperlink"/>
    <w:basedOn w:val="DefaultParagraphFont"/>
    <w:uiPriority w:val="99"/>
    <w:unhideWhenUsed/>
    <w:rsid w:val="00A043CA"/>
    <w:rPr>
      <w:color w:val="4472C4" w:themeColor="accent1"/>
      <w:u w:val="single"/>
    </w:rPr>
  </w:style>
  <w:style w:type="character" w:customStyle="1" w:styleId="Heading2Char">
    <w:name w:val="Heading 2 Char"/>
    <w:basedOn w:val="DefaultParagraphFont"/>
    <w:link w:val="Heading2"/>
    <w:uiPriority w:val="9"/>
    <w:rsid w:val="00083B2F"/>
    <w:rPr>
      <w:rFonts w:ascii="Calibri" w:eastAsiaTheme="majorEastAsia" w:hAnsi="Calibri" w:cstheme="majorBidi"/>
      <w:b/>
      <w:color w:val="006666"/>
      <w:sz w:val="26"/>
      <w:szCs w:val="26"/>
    </w:rPr>
  </w:style>
  <w:style w:type="character" w:customStyle="1" w:styleId="Heading3Char">
    <w:name w:val="Heading 3 Char"/>
    <w:basedOn w:val="DefaultParagraphFont"/>
    <w:link w:val="Heading3"/>
    <w:uiPriority w:val="9"/>
    <w:rsid w:val="00083B2F"/>
    <w:rPr>
      <w:rFonts w:asciiTheme="majorHAnsi" w:eastAsiaTheme="majorEastAsia" w:hAnsiTheme="majorHAnsi" w:cstheme="majorBidi"/>
      <w:b/>
      <w:color w:val="00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F5072D2623B342B67AE3A83F88A248" ma:contentTypeVersion="6" ma:contentTypeDescription="Create a new document." ma:contentTypeScope="" ma:versionID="747ee2979b593f78fe5fca6ebb7d70f8">
  <xsd:schema xmlns:xsd="http://www.w3.org/2001/XMLSchema" xmlns:xs="http://www.w3.org/2001/XMLSchema" xmlns:p="http://schemas.microsoft.com/office/2006/metadata/properties" xmlns:ns2="518991b2-cb4c-4cb5-85b6-304e4f1df5a0" xmlns:ns3="0b3241e0-b0f9-40d5-aa20-644f185be017" targetNamespace="http://schemas.microsoft.com/office/2006/metadata/properties" ma:root="true" ma:fieldsID="04a9513c8e8469e863a62953fd2905ff" ns2:_="" ns3:_="">
    <xsd:import namespace="518991b2-cb4c-4cb5-85b6-304e4f1df5a0"/>
    <xsd:import namespace="0b3241e0-b0f9-40d5-aa20-644f185be0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991b2-cb4c-4cb5-85b6-304e4f1df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3241e0-b0f9-40d5-aa20-644f185be0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98CC5-7910-47B1-951F-824CD5A43E19}">
  <ds:schemaRefs>
    <ds:schemaRef ds:uri="http://schemas.microsoft.com/sharepoint/v3/contenttype/forms"/>
  </ds:schemaRefs>
</ds:datastoreItem>
</file>

<file path=customXml/itemProps2.xml><?xml version="1.0" encoding="utf-8"?>
<ds:datastoreItem xmlns:ds="http://schemas.openxmlformats.org/officeDocument/2006/customXml" ds:itemID="{69842247-A174-4C5E-9180-22E2F002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991b2-cb4c-4cb5-85b6-304e4f1df5a0"/>
    <ds:schemaRef ds:uri="0b3241e0-b0f9-40d5-aa20-644f185be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2FD15-DFA4-4A08-8139-A5C6D88B95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EDI Strategy objectives</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Strategy objectives</dc:title>
  <dc:subject/>
  <dc:creator>Orla Kealy</dc:creator>
  <cp:keywords/>
  <dc:description/>
  <cp:lastModifiedBy>Orla Kealy</cp:lastModifiedBy>
  <cp:revision>2</cp:revision>
  <dcterms:created xsi:type="dcterms:W3CDTF">2024-02-14T13:06:00Z</dcterms:created>
  <dcterms:modified xsi:type="dcterms:W3CDTF">2024-02-14T14:16:00Z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0x0101002DF5072D2623B342B67AE3A83F88A248</vt:lpwstr>
  </property>
</Properties>
</file>