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D2327" w:rsidP="009B3664" w:rsidRDefault="008D2327" w14:paraId="1B2FD67C" w14:textId="52CD68AE">
      <w:pPr>
        <w:rPr>
          <w:b w:val="1"/>
          <w:bCs w:val="1"/>
        </w:rPr>
      </w:pPr>
      <w:r w:rsidR="008D2327">
        <w:rPr>
          <w:b w:val="1"/>
          <w:bCs w:val="1"/>
        </w:rPr>
        <w:t xml:space="preserve"> </w:t>
      </w:r>
      <w:r w:rsidR="007C5BFF">
        <w:rPr>
          <w:b/>
          <w:bCs/>
          <w:noProof/>
        </w:rPr>
        <w:drawing>
          <wp:inline distT="0" distB="0" distL="0" distR="0" wp14:anchorId="76976FB8" wp14:editId="7CE0F331">
            <wp:extent cx="3000375" cy="979293"/>
            <wp:effectExtent l="0" t="0" r="0" b="0"/>
            <wp:docPr id="3" name="Picture 3" descr="Text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0375" cy="97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664">
        <w:rPr>
          <w:b/>
          <w:bCs/>
        </w:rPr>
        <w:tab/>
      </w:r>
      <w:r w:rsidR="009B3664">
        <w:rPr>
          <w:b/>
          <w:bCs/>
        </w:rPr>
        <w:tab/>
      </w:r>
      <w:r w:rsidRPr="00305879" w:rsidR="009B3664">
        <w:drawing>
          <wp:inline distT="0" distB="0" distL="0" distR="0" wp14:anchorId="2D35B713" wp14:editId="00BD21E8">
            <wp:extent cx="1173504" cy="1065806"/>
            <wp:effectExtent l="0" t="0" r="0" b="0"/>
            <wp:docPr id="1" name="Picture 1" descr="Sunburst chart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nburst chart&#10;&#10;Description automatically generated"/>
                    <pic:cNvPicPr/>
                  </pic:nvPicPr>
                  <pic:blipFill rotWithShape="1">
                    <a:blip r:embed="rId6"/>
                    <a:srcRect l="0" t="0" r="20477" b="0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173504" cy="1065806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D7143E" w:rsidR="000235D2" w:rsidP="00305879" w:rsidRDefault="00556352" w14:paraId="58DEFF23" w14:textId="1133BE31">
      <w:pPr>
        <w:jc w:val="center"/>
        <w:rPr>
          <w:sz w:val="28"/>
          <w:szCs w:val="28"/>
        </w:rPr>
      </w:pPr>
      <w:r w:rsidRPr="00D7143E">
        <w:rPr>
          <w:b/>
          <w:bCs/>
          <w:sz w:val="28"/>
          <w:szCs w:val="28"/>
        </w:rPr>
        <w:t>Reach Fund 2022</w:t>
      </w:r>
      <w:r w:rsidR="00D7143E">
        <w:rPr>
          <w:b/>
          <w:bCs/>
          <w:sz w:val="28"/>
          <w:szCs w:val="28"/>
        </w:rPr>
        <w:br/>
      </w:r>
      <w:r w:rsidRPr="00D7143E" w:rsidR="000235D2">
        <w:rPr>
          <w:sz w:val="28"/>
          <w:szCs w:val="28"/>
        </w:rPr>
        <w:t>Call for Applications 202</w:t>
      </w:r>
      <w:r w:rsidRPr="00D7143E">
        <w:rPr>
          <w:sz w:val="28"/>
          <w:szCs w:val="28"/>
        </w:rPr>
        <w:t>2</w:t>
      </w:r>
    </w:p>
    <w:p w:rsidR="000235D2" w:rsidRDefault="009B3664" w14:paraId="5D1E29BC" w14:textId="2792D6D4">
      <w:r>
        <w:t>K</w:t>
      </w:r>
      <w:r w:rsidR="000235D2">
        <w:t xml:space="preserve">WETB is now inviting applications for the fund from community education providers in the Kildare and Wicklow area.  </w:t>
      </w:r>
    </w:p>
    <w:p w:rsidRPr="000235D2" w:rsidR="000235D2" w:rsidP="1B7838A0" w:rsidRDefault="000235D2" w14:paraId="3614012B" w14:textId="3B41DC99">
      <w:pPr>
        <w:pStyle w:val="Normal"/>
        <w:shd w:val="clear" w:color="auto" w:fill="FFFFFF" w:themeFill="background1"/>
        <w:spacing w:before="204" w:after="204" w:line="240" w:lineRule="auto"/>
        <w:jc w:val="both"/>
        <w:textAlignment w:val="baseline"/>
        <w:rPr>
          <w:rFonts w:eastAsia="Times New Roman" w:cs="Calibri" w:cstheme="minorAscii"/>
          <w:lang w:eastAsia="en-IE"/>
        </w:rPr>
      </w:pPr>
      <w:r w:rsidRPr="1B7838A0" w:rsidR="000235D2">
        <w:rPr>
          <w:rFonts w:eastAsia="Times New Roman" w:cs="Calibri" w:cstheme="minorAscii"/>
          <w:lang w:eastAsia="en-IE"/>
        </w:rPr>
        <w:t xml:space="preserve">The Reach Funder </w:t>
      </w:r>
      <w:r w:rsidRPr="1B7838A0" w:rsidR="00325729">
        <w:rPr>
          <w:sz w:val="23"/>
          <w:szCs w:val="23"/>
        </w:rPr>
        <w:t>(formerly MAEDF)</w:t>
      </w:r>
      <w:r w:rsidRPr="1B7838A0" w:rsidR="000235D2">
        <w:rPr>
          <w:rFonts w:eastAsia="Times New Roman" w:cs="Calibri" w:cstheme="minorAscii"/>
          <w:lang w:eastAsia="en-IE"/>
        </w:rPr>
        <w:t xml:space="preserve"> </w:t>
      </w:r>
      <w:r w:rsidRPr="1B7838A0" w:rsidR="00CE4017">
        <w:rPr>
          <w:rFonts w:eastAsia="Times New Roman" w:cs="Calibri" w:cstheme="minorAscii"/>
          <w:lang w:eastAsia="en-IE"/>
        </w:rPr>
        <w:t xml:space="preserve">is funded by the Department of </w:t>
      </w:r>
      <w:r w:rsidRPr="1B7838A0" w:rsidR="000235D2">
        <w:rPr>
          <w:rFonts w:eastAsia="Times New Roman" w:cs="Calibri" w:cstheme="minorAscii"/>
          <w:lang w:eastAsia="en-IE"/>
        </w:rPr>
        <w:t>Further and Higher Education, Research, Innovation and Science and is administered by SOLAS, the further education and training authority, and the 16 local Education and Training Boards.</w:t>
      </w:r>
    </w:p>
    <w:p w:rsidR="00345862" w:rsidP="1B7838A0" w:rsidRDefault="00325729" w14:paraId="07E6425C" w14:textId="75983ED7">
      <w:pPr>
        <w:shd w:val="clear" w:color="auto" w:fill="FFFFFF" w:themeFill="background1"/>
        <w:spacing w:before="204" w:after="204" w:line="240" w:lineRule="auto"/>
        <w:jc w:val="both"/>
        <w:textAlignment w:val="baseline"/>
        <w:rPr>
          <w:sz w:val="23"/>
          <w:szCs w:val="23"/>
        </w:rPr>
      </w:pPr>
      <w:r w:rsidRPr="1B7838A0" w:rsidR="00325729">
        <w:rPr>
          <w:sz w:val="23"/>
          <w:szCs w:val="23"/>
        </w:rPr>
        <w:t xml:space="preserve">The aim of the </w:t>
      </w:r>
      <w:r w:rsidR="00325729">
        <w:rPr/>
        <w:t xml:space="preserve">Reach </w:t>
      </w:r>
      <w:r w:rsidR="00325729">
        <w:rPr/>
        <w:t>fund</w:t>
      </w:r>
      <w:r w:rsidRPr="1B7838A0" w:rsidR="00325729">
        <w:rPr>
          <w:sz w:val="23"/>
          <w:szCs w:val="23"/>
        </w:rPr>
        <w:t xml:space="preserve"> is</w:t>
      </w:r>
      <w:r w:rsidRPr="1B7838A0" w:rsidR="00325729">
        <w:rPr>
          <w:sz w:val="23"/>
          <w:szCs w:val="23"/>
        </w:rPr>
        <w:t xml:space="preserve"> to provide funding to support educationally disadvantaged learners in accessing and participating in community education. </w:t>
      </w:r>
    </w:p>
    <w:p w:rsidR="008D2327" w:rsidP="000235D2" w:rsidRDefault="00325729" w14:paraId="29A44EA8" w14:textId="77777777">
      <w:pPr>
        <w:shd w:val="clear" w:color="auto" w:fill="FFFFFF"/>
        <w:spacing w:before="204" w:after="204" w:line="240" w:lineRule="auto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It aims to increase the participation of disadvantaged learners, particularly those who are undertaking literacy and skills programmes. </w:t>
      </w:r>
    </w:p>
    <w:p w:rsidR="008D2327" w:rsidP="000235D2" w:rsidRDefault="00325729" w14:paraId="494C844D" w14:textId="77777777">
      <w:pPr>
        <w:shd w:val="clear" w:color="auto" w:fill="FFFFFF"/>
        <w:spacing w:before="204" w:after="204" w:line="240" w:lineRule="auto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The fund has a strong focus on building the digital infrastructure of community education providers, including providing devices and software, and increasing their capacity to deliver learning. </w:t>
      </w:r>
    </w:p>
    <w:p w:rsidR="00ED787B" w:rsidP="47D54416" w:rsidRDefault="00325729" w14:paraId="62B7494D" w14:textId="30366533">
      <w:pPr>
        <w:shd w:val="clear" w:color="auto" w:fill="FFFFFF" w:themeFill="background1"/>
        <w:spacing w:before="204" w:after="204" w:line="240" w:lineRule="auto"/>
        <w:jc w:val="both"/>
        <w:textAlignment w:val="baseline"/>
        <w:rPr>
          <w:sz w:val="23"/>
          <w:szCs w:val="23"/>
        </w:rPr>
      </w:pPr>
      <w:r w:rsidRPr="47D54416" w:rsidR="00325729">
        <w:rPr>
          <w:sz w:val="23"/>
          <w:szCs w:val="23"/>
        </w:rPr>
        <w:t xml:space="preserve">The fund was specifically designed to tackle inequalities and support access to community </w:t>
      </w:r>
      <w:r w:rsidRPr="47D54416" w:rsidR="00325729">
        <w:rPr>
          <w:sz w:val="23"/>
          <w:szCs w:val="23"/>
        </w:rPr>
        <w:t>education and</w:t>
      </w:r>
      <w:r w:rsidRPr="47D54416" w:rsidR="00325729">
        <w:rPr>
          <w:sz w:val="23"/>
          <w:szCs w:val="23"/>
        </w:rPr>
        <w:t xml:space="preserve"> intended to address specific actions in the Adult Literacy for Life (ALL) Strategy to target funding on access to technology and devices, expand community access to wi-fi and broadband resources and to directly address unmet literacy needs. </w:t>
      </w:r>
    </w:p>
    <w:p w:rsidRPr="000235D2" w:rsidR="000235D2" w:rsidP="000235D2" w:rsidRDefault="000235D2" w14:paraId="002458D3" w14:textId="41B74A43">
      <w:pPr>
        <w:shd w:val="clear" w:color="auto" w:fill="FFFFFF"/>
        <w:spacing w:before="204" w:after="204" w:line="240" w:lineRule="auto"/>
        <w:jc w:val="both"/>
        <w:textAlignment w:val="baseline"/>
        <w:rPr>
          <w:rFonts w:eastAsia="Times New Roman" w:cstheme="minorHAnsi"/>
          <w:lang w:eastAsia="en-IE"/>
        </w:rPr>
      </w:pPr>
      <w:r w:rsidRPr="000235D2">
        <w:rPr>
          <w:rFonts w:eastAsia="Times New Roman" w:cstheme="minorHAnsi"/>
          <w:lang w:eastAsia="en-IE"/>
        </w:rPr>
        <w:t xml:space="preserve">Categories eligible for funding consideration </w:t>
      </w:r>
      <w:r w:rsidR="00ED787B">
        <w:rPr>
          <w:rFonts w:eastAsia="Times New Roman" w:cstheme="minorHAnsi"/>
          <w:lang w:eastAsia="en-IE"/>
        </w:rPr>
        <w:t xml:space="preserve">for 2022 </w:t>
      </w:r>
      <w:r w:rsidRPr="000235D2">
        <w:rPr>
          <w:rFonts w:eastAsia="Times New Roman" w:cstheme="minorHAnsi"/>
          <w:lang w:eastAsia="en-IE"/>
        </w:rPr>
        <w:t>are:</w:t>
      </w:r>
    </w:p>
    <w:tbl>
      <w:tblPr>
        <w:tblStyle w:val="TableGrid"/>
        <w:tblW w:w="8903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861"/>
        <w:gridCol w:w="1751"/>
        <w:gridCol w:w="1516"/>
        <w:gridCol w:w="1833"/>
        <w:gridCol w:w="1942"/>
      </w:tblGrid>
      <w:tr w:rsidRPr="00345862" w:rsidR="00ED787B" w:rsidTr="00345862" w14:paraId="3E0F0D7F" w14:textId="77777777">
        <w:tc>
          <w:tcPr>
            <w:tcW w:w="18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C5E0B3" w:themeFill="accent6" w:themeFillTint="66"/>
          </w:tcPr>
          <w:p w:rsidRPr="00345862" w:rsidR="00ED787B" w:rsidP="00C91430" w:rsidRDefault="00ED787B" w14:paraId="1BEBCCC7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45862">
              <w:rPr>
                <w:rFonts w:cstheme="minorHAnsi"/>
                <w:b/>
                <w:bCs/>
                <w:sz w:val="28"/>
                <w:szCs w:val="28"/>
              </w:rPr>
              <w:t>Digital Technologies</w:t>
            </w:r>
          </w:p>
        </w:tc>
        <w:tc>
          <w:tcPr>
            <w:tcW w:w="18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C5E0B3" w:themeFill="accent6" w:themeFillTint="66"/>
          </w:tcPr>
          <w:p w:rsidRPr="00345862" w:rsidR="00ED787B" w:rsidP="00C91430" w:rsidRDefault="00ED787B" w14:paraId="401BA092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45862">
              <w:rPr>
                <w:rFonts w:cstheme="minorHAnsi"/>
                <w:b/>
                <w:bCs/>
                <w:sz w:val="28"/>
                <w:szCs w:val="28"/>
              </w:rPr>
              <w:t>Equality Awareness Raising</w:t>
            </w:r>
          </w:p>
        </w:tc>
        <w:tc>
          <w:tcPr>
            <w:tcW w:w="15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C5E0B3" w:themeFill="accent6" w:themeFillTint="66"/>
          </w:tcPr>
          <w:p w:rsidRPr="00345862" w:rsidR="00ED787B" w:rsidP="00C91430" w:rsidRDefault="00ED787B" w14:paraId="7EEBD64E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45862">
              <w:rPr>
                <w:rFonts w:cstheme="minorHAnsi"/>
                <w:b/>
                <w:bCs/>
                <w:sz w:val="28"/>
                <w:szCs w:val="28"/>
              </w:rPr>
              <w:t>Refugee Support</w:t>
            </w:r>
          </w:p>
        </w:tc>
        <w:tc>
          <w:tcPr>
            <w:tcW w:w="191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C5E0B3" w:themeFill="accent6" w:themeFillTint="66"/>
          </w:tcPr>
          <w:p w:rsidRPr="00345862" w:rsidR="00ED787B" w:rsidP="00C91430" w:rsidRDefault="00ED787B" w14:paraId="3889634D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45862">
              <w:rPr>
                <w:rFonts w:cstheme="minorHAnsi"/>
                <w:b/>
                <w:bCs/>
                <w:sz w:val="28"/>
                <w:szCs w:val="28"/>
              </w:rPr>
              <w:t>Innovative Green Projects</w:t>
            </w:r>
          </w:p>
        </w:tc>
        <w:tc>
          <w:tcPr>
            <w:tcW w:w="16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C5E0B3" w:themeFill="accent6" w:themeFillTint="66"/>
          </w:tcPr>
          <w:p w:rsidRPr="00345862" w:rsidR="00ED787B" w:rsidP="00C91430" w:rsidRDefault="00ED787B" w14:paraId="09B34948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45862">
              <w:rPr>
                <w:rFonts w:cstheme="minorHAnsi"/>
                <w:b/>
                <w:bCs/>
                <w:sz w:val="28"/>
                <w:szCs w:val="28"/>
              </w:rPr>
              <w:t>Support Disadvantaged groups</w:t>
            </w:r>
          </w:p>
        </w:tc>
      </w:tr>
    </w:tbl>
    <w:p w:rsidR="00325729" w:rsidP="00325729" w:rsidRDefault="00325729" w14:paraId="3D847DDE" w14:textId="3980977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IE"/>
        </w:rPr>
      </w:pPr>
    </w:p>
    <w:p w:rsidR="00325729" w:rsidP="00325729" w:rsidRDefault="00325729" w14:paraId="154034FC" w14:textId="5B3D5F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IE"/>
        </w:rPr>
      </w:pPr>
    </w:p>
    <w:p w:rsidR="00325729" w:rsidP="00325729" w:rsidRDefault="00975C70" w14:paraId="6C159C76" w14:textId="633309E8">
      <w:r w:rsidR="00975C70">
        <w:rPr/>
        <w:t>REACH</w:t>
      </w:r>
      <w:r w:rsidR="00325729">
        <w:rPr/>
        <w:t xml:space="preserve"> Guidelines and Applications Form are available here </w:t>
      </w:r>
      <w:r w:rsidRPr="47D54416" w:rsidR="00325729">
        <w:rPr>
          <w:highlight w:val="yellow"/>
        </w:rPr>
        <w:t>(Link</w:t>
      </w:r>
      <w:r w:rsidRPr="47D54416" w:rsidR="00325729">
        <w:rPr>
          <w:highlight w:val="yellow"/>
        </w:rPr>
        <w:t xml:space="preserve"> to application form and guidelines</w:t>
      </w:r>
      <w:r w:rsidRPr="47D54416" w:rsidR="00325729">
        <w:rPr>
          <w:highlight w:val="yellow"/>
        </w:rPr>
        <w:t>).</w:t>
      </w:r>
    </w:p>
    <w:p w:rsidRPr="0062480F" w:rsidR="0062480F" w:rsidP="0062480F" w:rsidRDefault="0062480F" w14:paraId="5594E9EA" w14:textId="0D9D4CF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en-IE"/>
        </w:rPr>
      </w:pPr>
      <w:r w:rsidRPr="0062480F">
        <w:rPr>
          <w:rFonts w:eastAsia="Times New Roman" w:cstheme="minorHAnsi"/>
          <w:b/>
          <w:bCs/>
          <w:lang w:eastAsia="en-IE"/>
        </w:rPr>
        <w:t xml:space="preserve">Grant Administration </w:t>
      </w:r>
    </w:p>
    <w:p w:rsidRPr="000235D2" w:rsidR="000235D2" w:rsidP="0062480F" w:rsidRDefault="000235D2" w14:paraId="6C898DE2" w14:textId="3569EFE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IE"/>
        </w:rPr>
      </w:pPr>
      <w:r w:rsidRPr="000235D2">
        <w:rPr>
          <w:rFonts w:eastAsia="Times New Roman" w:cstheme="minorHAnsi"/>
          <w:lang w:eastAsia="en-IE"/>
        </w:rPr>
        <w:t xml:space="preserve">Funds are allocated by SOLAS to </w:t>
      </w:r>
      <w:r w:rsidR="0062480F">
        <w:rPr>
          <w:rFonts w:eastAsia="Times New Roman" w:cstheme="minorHAnsi"/>
          <w:lang w:eastAsia="en-IE"/>
        </w:rPr>
        <w:t>KWETB</w:t>
      </w:r>
      <w:r w:rsidRPr="000235D2">
        <w:rPr>
          <w:rFonts w:eastAsia="Times New Roman" w:cstheme="minorHAnsi"/>
          <w:lang w:eastAsia="en-IE"/>
        </w:rPr>
        <w:t>, who is responsible for the administration and management of funding within its region.</w:t>
      </w:r>
    </w:p>
    <w:p w:rsidR="0062480F" w:rsidP="0062480F" w:rsidRDefault="0062480F" w14:paraId="5AD6F42F" w14:textId="77777777"/>
    <w:p w:rsidR="0062480F" w:rsidP="47D54416" w:rsidRDefault="0062480F" w14:paraId="798D257E" w14:textId="38CFB95C">
      <w:pPr>
        <w:rPr>
          <w:b w:val="1"/>
          <w:bCs w:val="1"/>
          <w:color w:val="auto"/>
        </w:rPr>
      </w:pPr>
      <w:r w:rsidRPr="47D54416" w:rsidR="0062480F">
        <w:rPr>
          <w:b w:val="1"/>
          <w:bCs w:val="1"/>
          <w:color w:val="auto"/>
        </w:rPr>
        <w:t xml:space="preserve">The closing date for applications is </w:t>
      </w:r>
      <w:r w:rsidRPr="47D54416" w:rsidR="00987F42">
        <w:rPr>
          <w:b w:val="1"/>
          <w:bCs w:val="1"/>
          <w:color w:val="auto"/>
        </w:rPr>
        <w:t>5:00pm on 12</w:t>
      </w:r>
      <w:r w:rsidRPr="47D54416" w:rsidR="00987F42">
        <w:rPr>
          <w:b w:val="1"/>
          <w:bCs w:val="1"/>
          <w:color w:val="auto"/>
          <w:vertAlign w:val="superscript"/>
        </w:rPr>
        <w:t>th</w:t>
      </w:r>
      <w:r w:rsidRPr="47D54416" w:rsidR="00987F42">
        <w:rPr>
          <w:b w:val="1"/>
          <w:bCs w:val="1"/>
          <w:color w:val="auto"/>
        </w:rPr>
        <w:t xml:space="preserve"> August 2022</w:t>
      </w:r>
    </w:p>
    <w:p w:rsidRPr="0062480F" w:rsidR="0062480F" w:rsidRDefault="0062480F" w14:paraId="7BBC1561" w14:textId="72414574">
      <w:r w:rsidRPr="47D54416" w:rsidR="0062480F">
        <w:rPr>
          <w:b w:val="1"/>
          <w:bCs w:val="1"/>
        </w:rPr>
        <w:t>Applications should be sent by e</w:t>
      </w:r>
      <w:r w:rsidR="0062480F">
        <w:rPr>
          <w:b w:val="0"/>
          <w:bCs w:val="0"/>
        </w:rPr>
        <w:t>mai</w:t>
      </w:r>
      <w:r w:rsidR="0062480F">
        <w:rPr>
          <w:b w:val="0"/>
          <w:bCs w:val="0"/>
        </w:rPr>
        <w:t xml:space="preserve">l </w:t>
      </w:r>
      <w:r w:rsidR="0062480F">
        <w:rPr>
          <w:b w:val="0"/>
          <w:bCs w:val="0"/>
        </w:rPr>
        <w:t>to</w:t>
      </w:r>
      <w:r w:rsidR="0062480F">
        <w:rPr>
          <w:b w:val="0"/>
          <w:bCs w:val="0"/>
        </w:rPr>
        <w:t xml:space="preserve"> </w:t>
      </w:r>
      <w:hyperlink r:id="R27b82b5760ce4039">
        <w:r w:rsidRPr="47D54416" w:rsidR="00975C70">
          <w:rPr>
            <w:rStyle w:val="Hyperlink"/>
          </w:rPr>
          <w:t>reach@kwetb.ie</w:t>
        </w:r>
      </w:hyperlink>
    </w:p>
    <w:sectPr w:rsidRPr="0062480F" w:rsidR="006248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6BE"/>
    <w:multiLevelType w:val="hybridMultilevel"/>
    <w:tmpl w:val="3230B022"/>
    <w:lvl w:ilvl="0" w:tplc="18090001">
      <w:start w:val="1"/>
      <w:numFmt w:val="bullet"/>
      <w:lvlText w:val=""/>
      <w:lvlJc w:val="left"/>
      <w:pPr>
        <w:ind w:left="1785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1" w15:restartNumberingAfterBreak="0">
    <w:nsid w:val="5EF11521"/>
    <w:multiLevelType w:val="multilevel"/>
    <w:tmpl w:val="731E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76775D5"/>
    <w:multiLevelType w:val="multilevel"/>
    <w:tmpl w:val="61F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61305194">
    <w:abstractNumId w:val="2"/>
  </w:num>
  <w:num w:numId="2" w16cid:durableId="2130271953">
    <w:abstractNumId w:val="1"/>
  </w:num>
  <w:num w:numId="3" w16cid:durableId="151060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D2"/>
    <w:rsid w:val="000235D2"/>
    <w:rsid w:val="00305879"/>
    <w:rsid w:val="00312C09"/>
    <w:rsid w:val="00325729"/>
    <w:rsid w:val="00345862"/>
    <w:rsid w:val="004E4F70"/>
    <w:rsid w:val="00556352"/>
    <w:rsid w:val="0062480F"/>
    <w:rsid w:val="007C5BFF"/>
    <w:rsid w:val="008D2327"/>
    <w:rsid w:val="00975C70"/>
    <w:rsid w:val="00987F42"/>
    <w:rsid w:val="009B3664"/>
    <w:rsid w:val="00A04E5E"/>
    <w:rsid w:val="00CE4017"/>
    <w:rsid w:val="00D7143E"/>
    <w:rsid w:val="00ED787B"/>
    <w:rsid w:val="1B7838A0"/>
    <w:rsid w:val="221449C3"/>
    <w:rsid w:val="3ED99140"/>
    <w:rsid w:val="463973B5"/>
    <w:rsid w:val="47D54416"/>
    <w:rsid w:val="64B8B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4CA6"/>
  <w15:chartTrackingRefBased/>
  <w15:docId w15:val="{BA104FBB-A418-4BD3-97C2-4CA38AAB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35D2"/>
  </w:style>
  <w:style w:type="paragraph" w:styleId="Heading3">
    <w:name w:val="heading 3"/>
    <w:basedOn w:val="Normal"/>
    <w:link w:val="Heading3Char"/>
    <w:uiPriority w:val="9"/>
    <w:qFormat/>
    <w:rsid w:val="000235D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235D2"/>
    <w:rPr>
      <w:rFonts w:ascii="Times New Roman" w:hAnsi="Times New Roman" w:eastAsia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0235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23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5D2"/>
    <w:pPr>
      <w:ind w:left="720"/>
      <w:contextualSpacing/>
    </w:pPr>
  </w:style>
  <w:style w:type="table" w:styleId="TableGrid">
    <w:name w:val="Table Grid"/>
    <w:basedOn w:val="TableNormal"/>
    <w:uiPriority w:val="59"/>
    <w:rsid w:val="00ED78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2.xml" Id="rId11" /><Relationship Type="http://schemas.openxmlformats.org/officeDocument/2006/relationships/image" Target="media/image1.jpe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reach@kwetb.ie" TargetMode="External" Id="R27b82b5760ce40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06ADDFC3B7B4083D2382B75DAA013" ma:contentTypeVersion="12" ma:contentTypeDescription="Create a new document." ma:contentTypeScope="" ma:versionID="8aa403a4d9be3c0b6c3e9f779d2816f8">
  <xsd:schema xmlns:xsd="http://www.w3.org/2001/XMLSchema" xmlns:xs="http://www.w3.org/2001/XMLSchema" xmlns:p="http://schemas.microsoft.com/office/2006/metadata/properties" xmlns:ns2="dc0fae36-a4d6-4d36-a5d7-7a49a23c7318" xmlns:ns3="42713c8e-c728-4b22-9739-73c7d9863652" targetNamespace="http://schemas.microsoft.com/office/2006/metadata/properties" ma:root="true" ma:fieldsID="d67afd940b9157d0cf1f9e2f2f30a531" ns2:_="" ns3:_="">
    <xsd:import namespace="dc0fae36-a4d6-4d36-a5d7-7a49a23c7318"/>
    <xsd:import namespace="42713c8e-c728-4b22-9739-73c7d9863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ae36-a4d6-4d36-a5d7-7a49a23c7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13c8e-c728-4b22-9739-73c7d9863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17651-B0A9-425B-B85B-2D6F48D72F6D}"/>
</file>

<file path=customXml/itemProps2.xml><?xml version="1.0" encoding="utf-8"?>
<ds:datastoreItem xmlns:ds="http://schemas.openxmlformats.org/officeDocument/2006/customXml" ds:itemID="{FDFFEADA-BCEB-4244-B8FB-419C40BE5815}"/>
</file>

<file path=customXml/itemProps3.xml><?xml version="1.0" encoding="utf-8"?>
<ds:datastoreItem xmlns:ds="http://schemas.openxmlformats.org/officeDocument/2006/customXml" ds:itemID="{18E18796-2320-4E62-A2A4-C510D03A20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Niamh Maguire</dc:creator>
  <keywords/>
  <dc:description/>
  <lastModifiedBy>Brenda Lynch</lastModifiedBy>
  <revision>16</revision>
  <dcterms:created xsi:type="dcterms:W3CDTF">2022-07-06T14:45:00.0000000Z</dcterms:created>
  <dcterms:modified xsi:type="dcterms:W3CDTF">2022-07-08T12:35:27.5721217Z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0x0101003DB06ADDFC3B7B4083D2382B75DAA013</vt:lpwstr>
  </property>
</Properties>
</file>